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36"/>
          <w:szCs w:val="36"/>
        </w:rPr>
      </w:pP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北京市石景山区投资促进服务中心关于</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2</w:t>
      </w:r>
      <w:r>
        <w:rPr>
          <w:rFonts w:ascii="方正小标宋简体" w:eastAsia="方正小标宋简体"/>
          <w:sz w:val="36"/>
          <w:szCs w:val="36"/>
        </w:rPr>
        <w:t>022</w:t>
      </w:r>
      <w:r>
        <w:rPr>
          <w:rFonts w:hint="eastAsia" w:ascii="方正小标宋简体" w:eastAsia="方正小标宋简体"/>
          <w:sz w:val="36"/>
          <w:szCs w:val="36"/>
        </w:rPr>
        <w:t>年部门整体绩效评价的报告</w:t>
      </w:r>
    </w:p>
    <w:p>
      <w:pPr>
        <w:spacing w:line="560" w:lineRule="exact"/>
        <w:jc w:val="left"/>
        <w:rPr>
          <w:rFonts w:ascii="仿宋_GB2312"/>
          <w:sz w:val="32"/>
          <w:szCs w:val="32"/>
        </w:rPr>
      </w:pPr>
    </w:p>
    <w:p>
      <w:pPr>
        <w:widowControl/>
        <w:spacing w:line="560" w:lineRule="exact"/>
        <w:rPr>
          <w:rFonts w:hint="eastAsia" w:ascii="仿宋_GB2312" w:eastAsia="仿宋_GB2312"/>
          <w:sz w:val="32"/>
          <w:szCs w:val="32"/>
        </w:rPr>
      </w:pPr>
      <w:r>
        <w:rPr>
          <w:rFonts w:hint="eastAsia" w:ascii="仿宋_GB2312" w:eastAsia="仿宋_GB2312"/>
          <w:sz w:val="32"/>
          <w:szCs w:val="32"/>
        </w:rPr>
        <w:t>北京市石景山区财政局：</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按照《石景山区财政局关于开展2023年预算部门绩效管理工作的通知》（石财绩效〔2023〕16</w:t>
      </w:r>
      <w:r>
        <w:rPr>
          <w:rFonts w:ascii="仿宋_GB2312" w:eastAsia="仿宋_GB2312"/>
          <w:sz w:val="32"/>
          <w:szCs w:val="32"/>
        </w:rPr>
        <w:t>1</w:t>
      </w:r>
      <w:r>
        <w:rPr>
          <w:rFonts w:hint="eastAsia" w:ascii="仿宋_GB2312" w:eastAsia="仿宋_GB2312"/>
          <w:sz w:val="32"/>
          <w:szCs w:val="32"/>
        </w:rPr>
        <w:t>号）的要求，北京市石景山区投资促进服务中心（以下简称“区投促中心”）认真组织开展预算绩效管理评价工作，深入分析项目绩效的实现情况，查找偏差原因，提高财政资金使用效益，具体报告如下：</w:t>
      </w:r>
    </w:p>
    <w:p>
      <w:pPr>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pPr>
        <w:spacing w:line="560" w:lineRule="exact"/>
        <w:ind w:left="420" w:leftChars="200"/>
        <w:jc w:val="left"/>
        <w:outlineLvl w:val="0"/>
        <w:rPr>
          <w:rFonts w:hint="eastAsia" w:ascii="华文楷体" w:hAnsi="华文楷体" w:eastAsia="华文楷体" w:cs="华文楷体"/>
          <w:sz w:val="32"/>
          <w:szCs w:val="32"/>
        </w:rPr>
      </w:pPr>
      <w:r>
        <w:rPr>
          <w:rFonts w:hint="eastAsia" w:ascii="华文楷体" w:hAnsi="华文楷体" w:eastAsia="华文楷体" w:cs="华文楷体"/>
          <w:sz w:val="32"/>
          <w:szCs w:val="32"/>
        </w:rPr>
        <w:t>（一）机构设置及职责工作任务情况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根据北京市石景山区人民政府批准设立区投资促进服务中心。目前，内设六部一室，即：投资信息部、投资公关部、投资服务部、投资项目部、投资发展部、市场运营部和办公室。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区投促中心</w:t>
      </w:r>
      <w:r>
        <w:rPr>
          <w:rFonts w:hint="eastAsia" w:ascii="仿宋_GB2312" w:eastAsia="仿宋_GB2312"/>
          <w:sz w:val="32"/>
          <w:szCs w:val="32"/>
          <w:lang w:eastAsia="zh-CN"/>
        </w:rPr>
        <w:t>主要</w:t>
      </w:r>
      <w:r>
        <w:rPr>
          <w:rFonts w:hint="eastAsia" w:ascii="仿宋_GB2312" w:eastAsia="仿宋_GB2312"/>
          <w:sz w:val="32"/>
          <w:szCs w:val="32"/>
        </w:rPr>
        <w:t>负责本区招商引资等工作。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主要职责为：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一是贯彻执行国家、北京市招商引资的方针政策，协同有关部门制定招商引资的政策和配套措施。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二是负责全区招商引资工作的组织、管理、协调、指导及政策的落实。</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三是负责研究制定全区招商引资工作的总体规划和年度计划。</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四是负责全区招商引资情况的汇总及分析工作。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五是负责招商引资洽谈会、研讨会、考察活动的具体承办工作。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六是负责组织参加国内外招商活动，借助新媒体平台，推介石景山投资环境。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七是组织、收集、展示全区的招商项目。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八是负责建立与国内、外投资者的联系渠道，反映他们的意见和要求，研究提出有利于改善石景山投资环境的建议。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九是负责区内各类企业招商引资的宣传和服务工作，针对企业的经营内容、目标、策略等，向企业推荐最佳投资方案和合作伙伴。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十是负责为投资者提供政策咨询、代理及其他服务。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十一是协助投资者解决在运营过程中遇到的困难和问题。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十二是承办区政府交办的其他工作。</w:t>
      </w:r>
    </w:p>
    <w:p>
      <w:pPr>
        <w:spacing w:line="560" w:lineRule="exact"/>
        <w:ind w:left="420" w:leftChars="200"/>
        <w:jc w:val="left"/>
        <w:outlineLvl w:val="0"/>
        <w:rPr>
          <w:rFonts w:hint="eastAsia" w:ascii="华文楷体" w:hAnsi="华文楷体" w:eastAsia="华文楷体" w:cs="华文楷体"/>
          <w:sz w:val="32"/>
          <w:szCs w:val="32"/>
        </w:rPr>
      </w:pPr>
      <w:r>
        <w:rPr>
          <w:rFonts w:hint="eastAsia" w:ascii="华文楷体" w:hAnsi="华文楷体" w:eastAsia="华文楷体" w:cs="华文楷体"/>
          <w:sz w:val="32"/>
          <w:szCs w:val="32"/>
        </w:rPr>
        <w:t>（二）部门整体绩效目标设立情况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区投促中心部门整体绩效目标紧紧围绕部门职能和年度工作要点设置。部门绩效目标为在区委、区政府坚强领导下，坚持以习近平新时代中国特色社会主义思想为指导，牢牢把握“三区定位”，紧紧抓住“两大机遇”，突出抓好“两个关键”，聚力在“五子”中找准定位和工作着力点，不断创新招商引资举措，拓展招商信息渠道，进一步提升精准服务水平，持续推动全区招商引资事业取得新进展、新成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部门整体绩效目标设置与职能定位匹配，绩效目标和指标内容较为合理，能够综合考虑2021年度工作成效和存在的不足，以及2022年工作重点内容安排，通过绩效目标将年度部门职能任务量化、细化，对工作内容进行了较为细致全面的阐述，为年度工作的开展指明了方向。</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w:t>
      </w:r>
      <w:r>
        <w:rPr>
          <w:rFonts w:ascii="黑体" w:hAnsi="黑体" w:eastAsia="黑体" w:cs="宋体"/>
          <w:kern w:val="0"/>
          <w:sz w:val="32"/>
          <w:szCs w:val="32"/>
        </w:rPr>
        <w:t>、</w:t>
      </w:r>
      <w:r>
        <w:rPr>
          <w:rFonts w:hint="eastAsia" w:ascii="黑体" w:hAnsi="黑体" w:eastAsia="黑体" w:cs="宋体"/>
          <w:kern w:val="0"/>
          <w:sz w:val="32"/>
          <w:szCs w:val="32"/>
        </w:rPr>
        <w:t>当年</w:t>
      </w:r>
      <w:r>
        <w:rPr>
          <w:rFonts w:ascii="黑体" w:hAnsi="黑体" w:eastAsia="黑体" w:cs="宋体"/>
          <w:kern w:val="0"/>
          <w:sz w:val="32"/>
          <w:szCs w:val="32"/>
        </w:rPr>
        <w:t>预算执行情况</w:t>
      </w:r>
    </w:p>
    <w:p>
      <w:pPr>
        <w:spacing w:line="560" w:lineRule="exact"/>
        <w:ind w:left="105" w:leftChars="50" w:firstLine="480" w:firstLineChars="150"/>
        <w:rPr>
          <w:rFonts w:ascii="仿宋_GB2312" w:hAnsi="宋体" w:eastAsia="仿宋_GB2312" w:cs="宋体"/>
          <w:color w:val="auto"/>
          <w:kern w:val="0"/>
          <w:sz w:val="32"/>
          <w:szCs w:val="32"/>
        </w:rPr>
      </w:pPr>
      <w:r>
        <w:rPr>
          <w:rFonts w:hint="eastAsia" w:ascii="仿宋_GB2312" w:eastAsia="仿宋_GB2312"/>
          <w:sz w:val="32"/>
          <w:szCs w:val="32"/>
        </w:rPr>
        <w:t>2022年全年预算数33463.78万元，其中，基本支出预算数822.24万元，项目支出预算数32542.73万元，（含调增基本支出预算118.08万元，调增项目支出预算28240.51万元）。资金总支出33364.97万元，其中，基本支出822.24万元，项目支出32542</w:t>
      </w:r>
      <w:r>
        <w:rPr>
          <w:rFonts w:hint="eastAsia" w:ascii="仿宋_GB2312" w:hAnsi="宋体" w:eastAsia="仿宋_GB2312" w:cs="宋体"/>
          <w:color w:val="auto"/>
          <w:kern w:val="0"/>
          <w:sz w:val="32"/>
          <w:szCs w:val="32"/>
        </w:rPr>
        <w:t>.73万元，预算执行率为99.70%。</w:t>
      </w:r>
    </w:p>
    <w:p>
      <w:pPr>
        <w:spacing w:line="560" w:lineRule="exact"/>
        <w:ind w:left="105" w:leftChars="50" w:firstLine="480" w:firstLineChars="150"/>
        <w:rPr>
          <w:rFonts w:ascii="黑体" w:hAnsi="黑体" w:eastAsia="黑体" w:cs="宋体"/>
          <w:color w:val="auto"/>
          <w:kern w:val="0"/>
          <w:sz w:val="32"/>
          <w:szCs w:val="32"/>
        </w:rPr>
      </w:pPr>
      <w:r>
        <w:rPr>
          <w:rFonts w:hint="eastAsia" w:ascii="黑体" w:hAnsi="黑体" w:eastAsia="黑体" w:cs="宋体"/>
          <w:color w:val="auto"/>
          <w:kern w:val="0"/>
          <w:sz w:val="32"/>
          <w:szCs w:val="32"/>
        </w:rPr>
        <w:t>三</w:t>
      </w:r>
      <w:r>
        <w:rPr>
          <w:rFonts w:ascii="黑体" w:hAnsi="黑体" w:eastAsia="黑体" w:cs="宋体"/>
          <w:color w:val="auto"/>
          <w:kern w:val="0"/>
          <w:sz w:val="32"/>
          <w:szCs w:val="32"/>
        </w:rPr>
        <w:t>、整体绩效目标实现情况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2022年，</w:t>
      </w:r>
      <w:r>
        <w:rPr>
          <w:rFonts w:hint="eastAsia" w:ascii="仿宋_GB2312" w:eastAsia="仿宋_GB2312"/>
          <w:color w:val="auto"/>
          <w:sz w:val="32"/>
          <w:szCs w:val="32"/>
        </w:rPr>
        <w:t>在区委、区政府的正确领导下</w:t>
      </w:r>
      <w:r>
        <w:rPr>
          <w:rFonts w:hint="eastAsia" w:ascii="仿宋_GB2312" w:hAnsi="仿宋_GB2312" w:eastAsia="仿宋_GB2312" w:cs="仿宋_GB2312"/>
          <w:color w:val="auto"/>
          <w:sz w:val="32"/>
          <w:szCs w:val="32"/>
        </w:rPr>
        <w:t>，区投促中心认真贯彻“疫情要防住、经济要稳住、发展要安全”要求</w:t>
      </w:r>
      <w:r>
        <w:rPr>
          <w:rFonts w:hint="eastAsia" w:ascii="仿宋_GB2312" w:hAnsi="仿宋_GB2312" w:eastAsia="仿宋_GB2312" w:cs="仿宋_GB2312"/>
          <w:sz w:val="32"/>
          <w:szCs w:val="32"/>
        </w:rPr>
        <w:t>，紧抓“两大机遇”，深入实施“两大战略”，完善组织领导机制，突出招商目标牵引，提升企业服务质量，加大宣传推介力度，落实疫情防控任务，坚持高标准推动全区招商引资工作提质增效。</w:t>
      </w:r>
    </w:p>
    <w:p>
      <w:pPr>
        <w:spacing w:line="560" w:lineRule="exact"/>
        <w:ind w:left="105" w:leftChars="50" w:firstLine="480" w:firstLineChars="150"/>
        <w:rPr>
          <w:rFonts w:hint="eastAsia" w:ascii="华文楷体" w:hAnsi="华文楷体" w:eastAsia="华文楷体" w:cs="华文楷体"/>
          <w:sz w:val="32"/>
          <w:szCs w:val="32"/>
        </w:rPr>
      </w:pPr>
      <w:r>
        <w:rPr>
          <w:rFonts w:hint="eastAsia" w:ascii="华文楷体" w:hAnsi="华文楷体" w:eastAsia="华文楷体" w:cs="华文楷体"/>
          <w:sz w:val="32"/>
          <w:szCs w:val="32"/>
        </w:rPr>
        <w:t>（一）产出完成情况分析</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1.产出数量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经分析，2022年以来，区投促中心对项目支出实施绩效评价，评价项目13个，占预算项目总数的100%，涉及金额32794.02万元。其中，单位自评项目12个，涉及金额32314.02万元，部门普评项目1个，项目名称为优化升级区域高精尖产业发展政策课题项目，涉及金额480.00万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2.产出质量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经分析，2022年度预算绩效评价项目绩效目标全部完成，基本达到了年初设定的绩效指标要求，保障了各项业务工作的顺利进行。项目决策依据充分，决策程序规范，资料完备，项目的绩效目标较明确，但部分绩效目标设置细化、量化程度不足，科学合理性有待加强。</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3.产出进度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实施中，按照年度工作计划和预算具体实施，未出现支出依据不合规、虚列项目支出、截留、挤占、挪用项目资金、超标准开支等现象。加强政府采购管理，严格落实项目需求论证要求，严把采购方式、采购评审、采购验收等关键环节，依法依规做好采购工作。按照相关规定，对经济活动进行会计处理，及时记录反映经济活动运行状况。对资金使用计划、付款管理等活动，履行了相关审批程序，财务管理活动平稳有序运行。但作为项目主管单位对供应商的日常监管、考核措施有待完善。</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4.产出成本</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2022年，安排预算资金32794.02万元，全部为财政资金。经分析资金支出结构，支出范围主要普惠和专项资金补贴支出、招商宣传推介、策划和组织实施等相关费用，保障了各项业务工作的顺利开展。</w:t>
      </w:r>
    </w:p>
    <w:p>
      <w:pPr>
        <w:spacing w:line="560" w:lineRule="exact"/>
        <w:ind w:left="105" w:leftChars="50" w:firstLine="480" w:firstLineChars="150"/>
        <w:rPr>
          <w:rFonts w:hint="eastAsia" w:ascii="华文楷体" w:hAnsi="华文楷体" w:eastAsia="华文楷体" w:cs="华文楷体"/>
          <w:sz w:val="32"/>
          <w:szCs w:val="32"/>
        </w:rPr>
      </w:pPr>
      <w:r>
        <w:rPr>
          <w:rFonts w:hint="eastAsia" w:ascii="华文楷体" w:hAnsi="华文楷体" w:eastAsia="华文楷体" w:cs="华文楷体"/>
          <w:sz w:val="32"/>
          <w:szCs w:val="32"/>
        </w:rPr>
        <w:t>（二）效果实现情况分析</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1.经济效益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经济效益指标实现情况，通过项目的开展，石景山区共实现区级一般公共预算收入14873.8万元，同比增长15.3%，其中，我中心引入企业实现区级一般公共预算11882.1万元，占比79.9%。</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针对我区“1+3+1”高精尖产业、重点税源企业、龙头企业、高成长企业、专精特新企业等，进一步扩大服务企业范围，我区“服务包”企业数量由297家增加至365家，累计实现区级收入47.12亿元，同比增长11.8%，占区级收入的63.6%，为区域经济高质量发展提供重要支撑。</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2.社会效益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社会效益指标实现情况，通过项目的开展，2022年，全区共引入高精尖企业889家，同比增长16.8%，其中，我中心引入高精尖企业137家，占比15.4%，含引入重点企业50家。</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3.环境效益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环境效益指标实现情况，通过项目的开展，积极推动优化升级高精尖产业政策研究工作，建立“日沟通、周调度”工作机制，组织召开研讨会16次，联合咨询公司实地走访调研企业10余家，对全国园区、企业管理层和波士顿全球专家访谈37场，有针对性地提出政策优化的意见建议。起草形成《石景山区促进高精尖产业发展若干措施（试行）（征求意见稿）》和《关于落实石景山区促进高精尖产业发展若干措施的实施细则（试行）（征求意见稿）》，经征求相关单位意见3次，修订完善17次，现已经区财源会研究审议通过。</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4.可持续性影响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可持续性影响指标实现情况，通过项目的开展，贯彻落实《石景山区招商引资工作三年行动计划（2021-2023年）》，统筹“7+12”部门招商引资认定工作，坚持“月统计、季分析、年总结”，起草全区招商引资工作报告5篇，做到“思路清晰、数据准确、逻辑严谨”，有效提升统筹谋划能力。</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印发实施《石景山区产业发展领导小组组织机构》《石景山区产业发展领导小组工作规则》等相关工作文件；制定《石景山区产业发展领导小组2022年任务清单》《石景山区产业发展领导小组2022年项目清单》，按照“清单化管理、项目化推进”原则抓好各项工作落实，定期收集任务完成情况和项目进展情况在领导小组会上进行通报。《2022年任务清单》共38项，已完成34项，拟于近期完成3项，结转至2023年1项；《2022年项目清单》共29项，已完成12项，结转14项，调出3项。</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5.服务对象满意度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服务对象满意度指标实现情况，过项目的开展，积极发挥区政府工作专班牵头作用，组织召开中国电科（北京）智能科技园十二次工作推进会，推进工作落实。加强与智能科技园党委、园委会和各入园单位的全面合作，为智能科技园建设运营协调解决了交通出行、生活配套、人才引进等问题。全年</w:t>
      </w:r>
      <w:r>
        <w:rPr>
          <w:rFonts w:hint="eastAsia" w:ascii="仿宋_GB2312" w:eastAsia="仿宋_GB2312"/>
          <w:sz w:val="32"/>
          <w:szCs w:val="32"/>
          <w:lang w:eastAsia="zh-CN"/>
        </w:rPr>
        <w:t>统筹</w:t>
      </w:r>
      <w:bookmarkStart w:id="1" w:name="_GoBack"/>
      <w:bookmarkEnd w:id="1"/>
      <w:r>
        <w:rPr>
          <w:rFonts w:hint="eastAsia" w:ascii="仿宋_GB2312" w:eastAsia="仿宋_GB2312"/>
          <w:sz w:val="32"/>
          <w:szCs w:val="32"/>
        </w:rPr>
        <w:t>走访“服务包”企业1578家次，制定服务措施398项，主要集中在人才引进、支持政策、配套服务、政企合作等方面，其中办理人才引进132人，工作居住证2463个，协调子女入学入园74人，解决人才住房208套等。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做好疫情防疫保障。为中储粮油脂等企业设立核酸检测点，降低社会面传播风险；统筹调拨新冠抗原试和布洛芬、连花清瘟等药品，为20余家“服务包”企业累计赠送抗原试剂3.74万剂，药品1560盒，切实帮助企业复工达产。</w:t>
      </w:r>
    </w:p>
    <w:p>
      <w:pPr>
        <w:spacing w:line="56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pPr>
        <w:spacing w:line="560" w:lineRule="exact"/>
        <w:ind w:left="105" w:leftChars="50" w:firstLine="480" w:firstLineChars="150"/>
        <w:rPr>
          <w:rFonts w:hint="eastAsia" w:ascii="华文楷体" w:hAnsi="华文楷体" w:eastAsia="华文楷体" w:cs="华文楷体"/>
          <w:sz w:val="32"/>
          <w:szCs w:val="32"/>
        </w:rPr>
      </w:pPr>
      <w:r>
        <w:rPr>
          <w:rFonts w:hint="eastAsia" w:ascii="华文楷体" w:hAnsi="华文楷体" w:eastAsia="华文楷体" w:cs="华文楷体"/>
          <w:sz w:val="32"/>
          <w:szCs w:val="32"/>
        </w:rPr>
        <w:t>（一）财务管理</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1.财务管理制度健全性</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坚持财务管理控制，按照有关规定，区投促中心制定了经济管理办法汇编，明确了预算管理、合同管理、采购管理、资产管理和收支管理等相关流程和职责分工，风范和控制重要风险，优化完善业务层面的内部控制流程，做到了依法依规开展财务管理工作。</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2.资金使用合规性和安全性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坚持资金管理控制，确保经费使用安全、合理、有效。项目实施过程中，严格执行资金使用管理制度，杜绝资金截留、挤占、挪用、虚列支出等情况，资金使用合规性较好。</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3.会计基础信息完善性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坚持会计系统控制，有效的会计系统是确保资金安全、完整的前提，平时不断规范财务会计基础工作，强化财务和会计核算信息的真实性和准确性，为及时准确编制财务报告奠定了良好基础。</w:t>
      </w:r>
    </w:p>
    <w:p>
      <w:pPr>
        <w:spacing w:line="560" w:lineRule="exact"/>
        <w:ind w:left="105" w:leftChars="50" w:firstLine="480" w:firstLineChars="150"/>
        <w:rPr>
          <w:rFonts w:hint="eastAsia" w:ascii="华文楷体" w:hAnsi="华文楷体" w:eastAsia="华文楷体" w:cs="华文楷体"/>
          <w:sz w:val="32"/>
          <w:szCs w:val="32"/>
        </w:rPr>
      </w:pPr>
      <w:r>
        <w:rPr>
          <w:rFonts w:hint="eastAsia" w:ascii="华文楷体" w:hAnsi="华文楷体" w:eastAsia="华文楷体" w:cs="华文楷体"/>
          <w:sz w:val="32"/>
          <w:szCs w:val="32"/>
        </w:rPr>
        <w:t>（二）资产管理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资产管理控制，确定资产归口管理部门，明确资产管理职责以及使用人职责，规范了现金和支票的保管、盘点等相关要求，加强了现金、支票管理，规范结算行为，保证了现金、支票的安全和完整。固定资产采取定期盘点、会计记录、账实核对等控制措施，以及加强资产处置管理等。</w:t>
      </w:r>
    </w:p>
    <w:p>
      <w:pPr>
        <w:spacing w:line="560" w:lineRule="exact"/>
        <w:ind w:left="105" w:leftChars="50" w:firstLine="480" w:firstLineChars="150"/>
        <w:rPr>
          <w:rFonts w:hint="eastAsia" w:ascii="华文楷体" w:hAnsi="华文楷体" w:eastAsia="华文楷体" w:cs="华文楷体"/>
          <w:sz w:val="32"/>
          <w:szCs w:val="32"/>
        </w:rPr>
      </w:pPr>
      <w:r>
        <w:rPr>
          <w:rFonts w:hint="eastAsia" w:ascii="华文楷体" w:hAnsi="华文楷体" w:eastAsia="华文楷体" w:cs="华文楷体"/>
          <w:sz w:val="32"/>
          <w:szCs w:val="32"/>
        </w:rPr>
        <w:t>（三）绩效管理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绩效管理控制，预算绩效管理是目标、效果导向管理，以绩效目标的设立、实施、评价反馈为基本环节的管理制度。对预算绩效管理和预算执行情况进行双监控，既对财政资金使用和管理的合规性进行评价，又对财政资金使用的经济效益和社会效益进行评价，将预算安排、执行率和实施效果结合，发挥预算约束与激励功能、强化预算执行、提高资金使用效率、确保目标实现的重要作用。</w:t>
      </w:r>
    </w:p>
    <w:p>
      <w:pPr>
        <w:spacing w:line="560" w:lineRule="exact"/>
        <w:ind w:left="105" w:leftChars="50" w:firstLine="480" w:firstLineChars="150"/>
        <w:rPr>
          <w:rFonts w:hint="eastAsia" w:ascii="华文楷体" w:hAnsi="华文楷体" w:eastAsia="华文楷体" w:cs="华文楷体"/>
          <w:sz w:val="32"/>
          <w:szCs w:val="32"/>
        </w:rPr>
      </w:pPr>
      <w:r>
        <w:rPr>
          <w:rFonts w:hint="eastAsia" w:ascii="华文楷体" w:hAnsi="华文楷体" w:eastAsia="华文楷体" w:cs="华文楷体"/>
          <w:sz w:val="32"/>
          <w:szCs w:val="32"/>
        </w:rPr>
        <w:t>（四）结转结余率</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 xml:space="preserve">2022年共安排预算资金33463.78元（含调整预算数），全部为财政资金，实际支出33364.97元，结转和结余资金98.81元，预算资金执行率为99.70%。 </w:t>
      </w:r>
    </w:p>
    <w:p>
      <w:pPr>
        <w:spacing w:line="560" w:lineRule="exact"/>
        <w:ind w:left="105" w:leftChars="50" w:firstLine="480" w:firstLineChars="150"/>
        <w:rPr>
          <w:rFonts w:hint="eastAsia" w:ascii="华文楷体" w:hAnsi="华文楷体" w:eastAsia="华文楷体" w:cs="华文楷体"/>
          <w:sz w:val="32"/>
          <w:szCs w:val="32"/>
        </w:rPr>
      </w:pPr>
      <w:r>
        <w:rPr>
          <w:rFonts w:hint="eastAsia" w:ascii="华文楷体" w:hAnsi="华文楷体" w:eastAsia="华文楷体" w:cs="华文楷体"/>
          <w:sz w:val="32"/>
          <w:szCs w:val="32"/>
        </w:rPr>
        <w:t>（五）部门预决算差异率</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2022年收入预算5257</w:t>
      </w:r>
      <w:r>
        <w:rPr>
          <w:rFonts w:hint="eastAsia" w:ascii="仿宋_GB2312" w:eastAsia="仿宋_GB2312"/>
          <w:sz w:val="32"/>
          <w:szCs w:val="32"/>
          <w:lang w:val="en-US" w:eastAsia="zh-CN"/>
        </w:rPr>
        <w:t>.</w:t>
      </w:r>
      <w:r>
        <w:rPr>
          <w:rFonts w:hint="eastAsia" w:ascii="仿宋_GB2312" w:eastAsia="仿宋_GB2312"/>
          <w:sz w:val="32"/>
          <w:szCs w:val="32"/>
        </w:rPr>
        <w:t>6</w:t>
      </w:r>
      <w:r>
        <w:rPr>
          <w:rFonts w:hint="eastAsia" w:ascii="仿宋_GB2312" w:eastAsia="仿宋_GB2312"/>
          <w:sz w:val="32"/>
          <w:szCs w:val="32"/>
          <w:lang w:val="en-US" w:eastAsia="zh-CN"/>
        </w:rPr>
        <w:t>7</w:t>
      </w:r>
      <w:r>
        <w:rPr>
          <w:rFonts w:hint="eastAsia" w:ascii="仿宋_GB2312" w:eastAsia="仿宋_GB2312"/>
          <w:sz w:val="32"/>
          <w:szCs w:val="32"/>
        </w:rPr>
        <w:t>元，调整预算数33386</w:t>
      </w:r>
      <w:r>
        <w:rPr>
          <w:rFonts w:hint="eastAsia" w:ascii="仿宋_GB2312" w:eastAsia="仿宋_GB2312"/>
          <w:sz w:val="32"/>
          <w:szCs w:val="32"/>
          <w:lang w:val="en-US" w:eastAsia="zh-CN"/>
        </w:rPr>
        <w:t>.</w:t>
      </w:r>
      <w:r>
        <w:rPr>
          <w:rFonts w:hint="eastAsia" w:ascii="仿宋_GB2312" w:eastAsia="仿宋_GB2312"/>
          <w:sz w:val="32"/>
          <w:szCs w:val="32"/>
        </w:rPr>
        <w:t>9</w:t>
      </w:r>
      <w:r>
        <w:rPr>
          <w:rFonts w:hint="eastAsia" w:ascii="仿宋_GB2312" w:eastAsia="仿宋_GB2312"/>
          <w:sz w:val="32"/>
          <w:szCs w:val="32"/>
          <w:lang w:val="en-US" w:eastAsia="zh-CN"/>
        </w:rPr>
        <w:t>6</w:t>
      </w:r>
      <w:r>
        <w:rPr>
          <w:rFonts w:hint="eastAsia" w:ascii="仿宋_GB2312" w:eastAsia="仿宋_GB2312"/>
          <w:sz w:val="32"/>
          <w:szCs w:val="32"/>
        </w:rPr>
        <w:t>元，增长28129</w:t>
      </w:r>
      <w:r>
        <w:rPr>
          <w:rFonts w:hint="eastAsia" w:ascii="仿宋_GB2312" w:eastAsia="仿宋_GB2312"/>
          <w:sz w:val="32"/>
          <w:szCs w:val="32"/>
          <w:lang w:val="en-US" w:eastAsia="zh-CN"/>
        </w:rPr>
        <w:t>.</w:t>
      </w:r>
      <w:r>
        <w:rPr>
          <w:rFonts w:hint="eastAsia" w:ascii="仿宋_GB2312" w:eastAsia="仿宋_GB2312"/>
          <w:sz w:val="32"/>
          <w:szCs w:val="32"/>
        </w:rPr>
        <w:t>2</w:t>
      </w:r>
      <w:r>
        <w:rPr>
          <w:rFonts w:hint="eastAsia" w:ascii="仿宋_GB2312" w:eastAsia="仿宋_GB2312"/>
          <w:sz w:val="32"/>
          <w:szCs w:val="32"/>
          <w:lang w:val="en-US" w:eastAsia="zh-CN"/>
        </w:rPr>
        <w:t>9</w:t>
      </w:r>
      <w:r>
        <w:rPr>
          <w:rFonts w:hint="eastAsia" w:ascii="仿宋_GB2312" w:eastAsia="仿宋_GB2312"/>
          <w:sz w:val="32"/>
          <w:szCs w:val="32"/>
        </w:rPr>
        <w:t>元。其中：一般公共服务支出增加</w:t>
      </w:r>
      <w:r>
        <w:rPr>
          <w:rFonts w:hint="eastAsia" w:ascii="仿宋_GB2312" w:eastAsia="仿宋_GB2312"/>
          <w:sz w:val="32"/>
          <w:szCs w:val="32"/>
          <w:lang w:val="en-US" w:eastAsia="zh-CN"/>
        </w:rPr>
        <w:t>243.42</w:t>
      </w:r>
      <w:r>
        <w:rPr>
          <w:rFonts w:hint="eastAsia" w:ascii="仿宋_GB2312" w:eastAsia="仿宋_GB2312"/>
          <w:sz w:val="32"/>
          <w:szCs w:val="32"/>
        </w:rPr>
        <w:t>元、社会保障和就业支出增加</w:t>
      </w:r>
      <w:r>
        <w:rPr>
          <w:rFonts w:hint="eastAsia" w:ascii="仿宋_GB2312" w:eastAsia="仿宋_GB2312"/>
          <w:sz w:val="32"/>
          <w:szCs w:val="32"/>
          <w:lang w:val="en-US" w:eastAsia="zh-CN"/>
        </w:rPr>
        <w:t>33.99</w:t>
      </w:r>
      <w:r>
        <w:rPr>
          <w:rFonts w:hint="eastAsia" w:ascii="仿宋_GB2312" w:eastAsia="仿宋_GB2312"/>
          <w:sz w:val="32"/>
          <w:szCs w:val="32"/>
        </w:rPr>
        <w:t>元、卫生健康支出增加</w:t>
      </w:r>
      <w:r>
        <w:rPr>
          <w:rFonts w:hint="eastAsia" w:ascii="仿宋_GB2312" w:eastAsia="仿宋_GB2312"/>
          <w:sz w:val="32"/>
          <w:szCs w:val="32"/>
          <w:lang w:val="en-US" w:eastAsia="zh-CN"/>
        </w:rPr>
        <w:t>11.48</w:t>
      </w:r>
      <w:r>
        <w:rPr>
          <w:rFonts w:hint="eastAsia" w:ascii="仿宋_GB2312" w:eastAsia="仿宋_GB2312"/>
          <w:sz w:val="32"/>
          <w:szCs w:val="32"/>
        </w:rPr>
        <w:t>元、资源勘探工业信息支出增加</w:t>
      </w:r>
      <w:r>
        <w:rPr>
          <w:rFonts w:hint="eastAsia" w:ascii="仿宋_GB2312" w:eastAsia="仿宋_GB2312"/>
          <w:sz w:val="32"/>
          <w:szCs w:val="32"/>
          <w:lang w:val="en-US" w:eastAsia="zh-CN"/>
        </w:rPr>
        <w:t>27760.18</w:t>
      </w:r>
      <w:r>
        <w:rPr>
          <w:rFonts w:hint="eastAsia" w:ascii="仿宋_GB2312" w:eastAsia="仿宋_GB2312"/>
          <w:sz w:val="32"/>
          <w:szCs w:val="32"/>
        </w:rPr>
        <w:t>元、住房保障支出增加</w:t>
      </w:r>
      <w:r>
        <w:rPr>
          <w:rFonts w:hint="eastAsia" w:ascii="仿宋_GB2312" w:eastAsia="仿宋_GB2312"/>
          <w:sz w:val="32"/>
          <w:szCs w:val="32"/>
          <w:lang w:val="en-US" w:eastAsia="zh-CN"/>
        </w:rPr>
        <w:t>58.24</w:t>
      </w:r>
      <w:r>
        <w:rPr>
          <w:rFonts w:hint="eastAsia" w:ascii="仿宋_GB2312" w:eastAsia="仿宋_GB2312"/>
          <w:sz w:val="32"/>
          <w:szCs w:val="32"/>
        </w:rPr>
        <w:t>元，增加经费主要为按照上级批示，拨付普惠和专项补贴资金和部门履行职责开展业务所需经费等。</w:t>
      </w:r>
    </w:p>
    <w:p>
      <w:pPr>
        <w:spacing w:line="560" w:lineRule="exact"/>
        <w:ind w:left="105" w:leftChars="50" w:firstLine="480" w:firstLineChars="15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五、总体评价结论</w:t>
      </w:r>
    </w:p>
    <w:p>
      <w:pPr>
        <w:spacing w:line="560" w:lineRule="exact"/>
        <w:ind w:left="105" w:leftChars="50" w:firstLine="480" w:firstLineChars="150"/>
        <w:rPr>
          <w:rFonts w:hint="eastAsia" w:ascii="华文楷体" w:hAnsi="华文楷体" w:eastAsia="华文楷体" w:cs="华文楷体"/>
          <w:sz w:val="32"/>
          <w:szCs w:val="32"/>
        </w:rPr>
      </w:pPr>
      <w:r>
        <w:rPr>
          <w:rFonts w:hint="eastAsia" w:ascii="华文楷体" w:hAnsi="华文楷体" w:eastAsia="华文楷体" w:cs="华文楷体"/>
          <w:sz w:val="32"/>
          <w:szCs w:val="32"/>
        </w:rPr>
        <w:t>（一）评价得分情况</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评价得分情况，2022年，我单位整体绩效评价得分为94.94分，组织对区投促中心预算项目支出实施了绩效评价，评价项目13个，占部门项目总数的100%，评价得分在90(含)-100分的12个，评价得分在80(含)-90分的1个。</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评价认为：总体绩效目标明确，决策依据充分，资金分配科学合理，项目管理较规范，完成情况良好，基本达到了预期效果。</w:t>
      </w:r>
    </w:p>
    <w:p>
      <w:pPr>
        <w:spacing w:line="560" w:lineRule="exact"/>
        <w:ind w:left="105" w:leftChars="50" w:firstLine="480" w:firstLineChars="150"/>
        <w:rPr>
          <w:rFonts w:hint="eastAsia" w:ascii="华文楷体" w:hAnsi="华文楷体" w:eastAsia="华文楷体" w:cs="华文楷体"/>
          <w:sz w:val="32"/>
          <w:szCs w:val="32"/>
        </w:rPr>
      </w:pPr>
      <w:r>
        <w:rPr>
          <w:rFonts w:hint="eastAsia" w:ascii="华文楷体" w:hAnsi="华文楷体" w:eastAsia="华文楷体" w:cs="华文楷体"/>
          <w:sz w:val="32"/>
          <w:szCs w:val="32"/>
        </w:rPr>
        <w:t>（二）存在的问题及原因分析</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1.绩效管理意识需要进一步加强。部分项目负责人对项目绩效目标的理解和把握不到位，绩效目标设置不够具体，不能紧扣项目的核心内容，造成有些项目制定的绩效目标描述不够清晰、细化程度不够，难以全面反映项目绩效完成情况，也给绩效评价工作带来影响。</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2.绩效管理工作重视程度不够。个别部门的绩效理念还停留在按计划完成任务上，而没有将工作重点放在效益和效果方面。还存在“重投入轻管理，重资金轻绩效”的思想，绩效管理的意识需要进一步加强。</w:t>
      </w:r>
    </w:p>
    <w:p>
      <w:pPr>
        <w:spacing w:line="560" w:lineRule="exact"/>
        <w:ind w:left="105" w:leftChars="50" w:firstLine="480" w:firstLineChars="150"/>
        <w:rPr>
          <w:rFonts w:ascii="华文仿宋" w:hAnsi="华文仿宋" w:eastAsia="华文仿宋"/>
          <w:sz w:val="32"/>
          <w:szCs w:val="32"/>
        </w:rPr>
      </w:pPr>
      <w:r>
        <w:rPr>
          <w:rFonts w:hint="eastAsia" w:ascii="仿宋_GB2312" w:eastAsia="仿宋_GB2312"/>
          <w:sz w:val="32"/>
          <w:szCs w:val="32"/>
        </w:rPr>
        <w:t>3.绩效约束能力不强。绩效评价结果与预算安排有待进一步优化，预算绩效管理的反馈作用效果尚未充分体现，绩效评价与预算执行衔接力度不足，绩效跟踪需要进一步加强。</w:t>
      </w:r>
    </w:p>
    <w:p>
      <w:pPr>
        <w:spacing w:line="560" w:lineRule="exact"/>
        <w:ind w:firstLine="640" w:firstLineChars="200"/>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六、措施建议</w:t>
      </w:r>
      <w:r>
        <w:rPr>
          <w:rFonts w:hint="eastAsia" w:ascii="仿宋_GB2312" w:hAnsi="宋体" w:eastAsia="仿宋_GB2312" w:cs="宋体"/>
          <w:color w:val="000000"/>
          <w:kern w:val="0"/>
          <w:sz w:val="32"/>
          <w:szCs w:val="32"/>
        </w:rPr>
        <w:t>（整改措施、下一步工作举措）</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一）完善预算绩效考核体系，提高预算绩效管理意识。进一步做好项目管理的精细化水平，完善项目总体实施方案，明确项目立项、执行过程、采购管理、项目付款、项目验收等各环节职责分工和阶段目标，落实绩效管理职责，完善绩效考核体系。</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（二）科学合理设置绩效指标，提高预算绩效评价效果。进一步科学设置项目绩效指标，绩效目标设置应与项目内容相契合，通过可量化的数量指标、质量指标、效益指标来描述公共服务效果。</w:t>
      </w:r>
    </w:p>
    <w:p>
      <w:pPr>
        <w:spacing w:line="560" w:lineRule="exact"/>
        <w:ind w:left="105" w:leftChars="50" w:firstLine="480" w:firstLineChars="150"/>
        <w:rPr>
          <w:rFonts w:hint="eastAsia" w:ascii="仿宋_GB2312" w:eastAsia="仿宋_GB2312"/>
          <w:sz w:val="32"/>
          <w:szCs w:val="32"/>
        </w:rPr>
      </w:pPr>
      <w:r>
        <w:rPr>
          <w:rFonts w:hint="eastAsia" w:ascii="仿宋_GB2312" w:eastAsia="仿宋_GB2312"/>
          <w:sz w:val="32"/>
          <w:szCs w:val="32"/>
        </w:rPr>
        <w:t>（三）强化项目前期决策论证，提高项目管理的科学性、针对性。完善项目预算决策机制和程序，加强项目决策管理，提前筹划实事项目实施内容，立足急需解决的问题，做好前期调研和可行性论证，细化项目申报内容，保证项目决策资料的有效性和完整性。</w:t>
      </w:r>
    </w:p>
    <w:p>
      <w:pPr>
        <w:spacing w:line="560" w:lineRule="exact"/>
        <w:ind w:firstLine="640" w:firstLineChars="200"/>
        <w:rPr>
          <w:rFonts w:ascii="仿宋_GB2312" w:hAnsi="宋体" w:eastAsia="仿宋_GB2312" w:cs="宋体"/>
          <w:color w:val="000000"/>
          <w:kern w:val="0"/>
          <w:sz w:val="32"/>
          <w:szCs w:val="32"/>
        </w:rPr>
      </w:pPr>
    </w:p>
    <w:p>
      <w:pPr>
        <w:pStyle w:val="2"/>
        <w:spacing w:line="560" w:lineRule="exact"/>
        <w:rPr>
          <w:sz w:val="32"/>
          <w:szCs w:val="32"/>
        </w:rPr>
      </w:pPr>
      <w:bookmarkStart w:id="0" w:name="_Toc103006301"/>
      <w:r>
        <w:rPr>
          <w:rFonts w:hint="eastAsia"/>
          <w:sz w:val="32"/>
          <w:szCs w:val="32"/>
        </w:rPr>
        <w:t>七、附件</w:t>
      </w:r>
      <w:bookmarkEnd w:id="0"/>
    </w:p>
    <w:p>
      <w:pPr>
        <w:spacing w:line="560" w:lineRule="exact"/>
        <w:ind w:left="105" w:leftChars="50" w:firstLine="480" w:firstLineChars="150"/>
        <w:rPr>
          <w:rFonts w:hint="eastAsia" w:ascii="仿宋_GB2312" w:eastAsia="仿宋_GB2312"/>
          <w:sz w:val="32"/>
          <w:szCs w:val="32"/>
        </w:rPr>
        <w:sectPr>
          <w:footerReference r:id="rId3" w:type="default"/>
          <w:pgSz w:w="11906" w:h="16838"/>
          <w:pgMar w:top="1440" w:right="1800" w:bottom="1440" w:left="1800" w:header="851" w:footer="964" w:gutter="0"/>
          <w:pgNumType w:start="1"/>
          <w:cols w:space="425" w:num="1"/>
          <w:docGrid w:type="lines" w:linePitch="435" w:charSpace="0"/>
        </w:sectPr>
      </w:pPr>
      <w:r>
        <w:rPr>
          <w:rFonts w:hint="eastAsia" w:ascii="仿宋_GB2312" w:eastAsia="仿宋_GB2312"/>
          <w:sz w:val="32"/>
          <w:szCs w:val="32"/>
        </w:rPr>
        <w:t>2022年部门整体绩效评价指标体系评分表</w:t>
      </w:r>
    </w:p>
    <w:tbl>
      <w:tblPr>
        <w:tblStyle w:val="8"/>
        <w:tblW w:w="14174" w:type="dxa"/>
        <w:tblInd w:w="0" w:type="dxa"/>
        <w:tblLayout w:type="fixed"/>
        <w:tblCellMar>
          <w:top w:w="0" w:type="dxa"/>
          <w:left w:w="108" w:type="dxa"/>
          <w:bottom w:w="0" w:type="dxa"/>
          <w:right w:w="108" w:type="dxa"/>
        </w:tblCellMar>
      </w:tblPr>
      <w:tblGrid>
        <w:gridCol w:w="1007"/>
        <w:gridCol w:w="961"/>
        <w:gridCol w:w="1154"/>
        <w:gridCol w:w="1136"/>
        <w:gridCol w:w="1007"/>
        <w:gridCol w:w="616"/>
        <w:gridCol w:w="716"/>
        <w:gridCol w:w="3747"/>
        <w:gridCol w:w="3830"/>
      </w:tblGrid>
      <w:tr>
        <w:tblPrEx>
          <w:tblLayout w:type="fixed"/>
          <w:tblCellMar>
            <w:top w:w="0" w:type="dxa"/>
            <w:left w:w="108" w:type="dxa"/>
            <w:bottom w:w="0" w:type="dxa"/>
            <w:right w:w="108" w:type="dxa"/>
          </w:tblCellMar>
        </w:tblPrEx>
        <w:trPr>
          <w:cantSplit/>
          <w:trHeight w:val="90" w:hRule="atLeast"/>
        </w:trPr>
        <w:tc>
          <w:tcPr>
            <w:tcW w:w="14174" w:type="dxa"/>
            <w:gridSpan w:val="9"/>
            <w:tcBorders>
              <w:top w:val="nil"/>
              <w:left w:val="nil"/>
              <w:bottom w:val="single" w:color="auto" w:sz="4" w:space="0"/>
              <w:right w:val="nil"/>
            </w:tcBorders>
            <w:vAlign w:val="bottom"/>
          </w:tcPr>
          <w:p>
            <w:pPr>
              <w:widowControl/>
              <w:jc w:val="center"/>
              <w:rPr>
                <w:rFonts w:ascii="方正小标宋简体" w:hAnsi="黑体" w:eastAsia="方正小标宋简体" w:cs="宋体"/>
                <w:color w:val="000000"/>
                <w:kern w:val="0"/>
                <w:sz w:val="44"/>
                <w:szCs w:val="44"/>
                <w:highlight w:val="yellow"/>
              </w:rPr>
            </w:pPr>
            <w:r>
              <w:rPr>
                <w:rFonts w:hint="eastAsia" w:ascii="方正小标宋简体" w:hAnsi="黑体" w:eastAsia="方正小标宋简体" w:cs="宋体"/>
                <w:color w:val="000000"/>
                <w:kern w:val="0"/>
                <w:sz w:val="44"/>
                <w:szCs w:val="44"/>
              </w:rPr>
              <w:t>2022年部门整体绩效评价指标体系评分表</w:t>
            </w:r>
          </w:p>
        </w:tc>
      </w:tr>
      <w:tr>
        <w:tblPrEx>
          <w:tblLayout w:type="fixed"/>
          <w:tblCellMar>
            <w:top w:w="0" w:type="dxa"/>
            <w:left w:w="108" w:type="dxa"/>
            <w:bottom w:w="0" w:type="dxa"/>
            <w:right w:w="108" w:type="dxa"/>
          </w:tblCellMar>
        </w:tblPrEx>
        <w:trPr>
          <w:cantSplit/>
          <w:trHeight w:val="23" w:hRule="atLeast"/>
        </w:trPr>
        <w:tc>
          <w:tcPr>
            <w:tcW w:w="14174" w:type="dxa"/>
            <w:gridSpan w:val="9"/>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w:t>
            </w:r>
            <w:r>
              <w:rPr>
                <w:rFonts w:hint="eastAsia" w:ascii="宋体" w:hAnsi="宋体" w:cs="宋体"/>
                <w:color w:val="000000"/>
                <w:kern w:val="0"/>
                <w:sz w:val="20"/>
                <w:szCs w:val="20"/>
              </w:rPr>
              <w:t>当年预算执行情况（20分）</w:t>
            </w:r>
          </w:p>
        </w:tc>
      </w:tr>
      <w:tr>
        <w:tblPrEx>
          <w:tblLayout w:type="fixed"/>
          <w:tblCellMar>
            <w:top w:w="0" w:type="dxa"/>
            <w:left w:w="108" w:type="dxa"/>
            <w:bottom w:w="0" w:type="dxa"/>
            <w:right w:w="108" w:type="dxa"/>
          </w:tblCellMar>
        </w:tblPrEx>
        <w:trPr>
          <w:cantSplit/>
          <w:trHeight w:val="23" w:hRule="atLeast"/>
        </w:trPr>
        <w:tc>
          <w:tcPr>
            <w:tcW w:w="100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96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115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预算数（万元）</w:t>
            </w:r>
          </w:p>
        </w:tc>
        <w:tc>
          <w:tcPr>
            <w:tcW w:w="113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执行数（万元）</w:t>
            </w:r>
          </w:p>
        </w:tc>
        <w:tc>
          <w:tcPr>
            <w:tcW w:w="100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61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71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374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指标解释</w:t>
            </w:r>
          </w:p>
        </w:tc>
        <w:tc>
          <w:tcPr>
            <w:tcW w:w="3830" w:type="dxa"/>
            <w:tcBorders>
              <w:top w:val="single" w:color="auto" w:sz="4" w:space="0"/>
              <w:left w:val="nil"/>
              <w:bottom w:val="single" w:color="auto" w:sz="4" w:space="0"/>
              <w:right w:val="single" w:color="auto"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r>
      <w:tr>
        <w:tblPrEx>
          <w:tblLayout w:type="fixed"/>
          <w:tblCellMar>
            <w:top w:w="0" w:type="dxa"/>
            <w:left w:w="108" w:type="dxa"/>
            <w:bottom w:w="0" w:type="dxa"/>
            <w:right w:w="108" w:type="dxa"/>
          </w:tblCellMar>
        </w:tblPrEx>
        <w:trPr>
          <w:cantSplit/>
          <w:trHeight w:val="629" w:hRule="atLeast"/>
        </w:trPr>
        <w:tc>
          <w:tcPr>
            <w:tcW w:w="100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当年预算执行情况（20）</w:t>
            </w: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资金总体</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33463.78</w:t>
            </w:r>
          </w:p>
        </w:tc>
        <w:tc>
          <w:tcPr>
            <w:tcW w:w="11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33364.97　</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99.70%　</w:t>
            </w:r>
          </w:p>
        </w:tc>
        <w:tc>
          <w:tcPr>
            <w:tcW w:w="6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19.94　</w:t>
            </w:r>
          </w:p>
        </w:tc>
        <w:tc>
          <w:tcPr>
            <w:tcW w:w="374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部门全年执行数与全年预算数的比率。资金总体=基本支出+项目支出+其他</w:t>
            </w:r>
          </w:p>
        </w:tc>
        <w:tc>
          <w:tcPr>
            <w:tcW w:w="3830"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等线" w:hAnsi="等线" w:eastAsia="等线"/>
                <w:color w:val="000000"/>
                <w:sz w:val="18"/>
                <w:szCs w:val="18"/>
              </w:rPr>
              <w:t>①得分一档最高不能超过该指标分值上限（20分）。</w:t>
            </w:r>
            <w:r>
              <w:rPr>
                <w:rFonts w:hint="eastAsia" w:ascii="等线" w:hAnsi="等线" w:eastAsia="等线"/>
                <w:color w:val="000000"/>
                <w:sz w:val="18"/>
                <w:szCs w:val="18"/>
              </w:rPr>
              <w:br w:type="textWrapping"/>
            </w:r>
            <w:r>
              <w:rPr>
                <w:rFonts w:hint="eastAsia" w:ascii="等线" w:hAnsi="等线" w:eastAsia="等线"/>
                <w:color w:val="000000"/>
                <w:sz w:val="18"/>
                <w:szCs w:val="18"/>
              </w:rPr>
              <w:t>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tblPrEx>
          <w:tblLayout w:type="fixed"/>
          <w:tblCellMar>
            <w:top w:w="0" w:type="dxa"/>
            <w:left w:w="108" w:type="dxa"/>
            <w:bottom w:w="0" w:type="dxa"/>
            <w:right w:w="108" w:type="dxa"/>
          </w:tblCellMar>
        </w:tblPrEx>
        <w:trPr>
          <w:cantSplit/>
          <w:trHeight w:val="600"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highlight w:val="yellow"/>
              </w:rPr>
            </w:pPr>
          </w:p>
        </w:tc>
        <w:tc>
          <w:tcPr>
            <w:tcW w:w="961"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基本支出</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822.24</w:t>
            </w:r>
          </w:p>
        </w:tc>
        <w:tc>
          <w:tcPr>
            <w:tcW w:w="11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822.24　</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yellow"/>
              </w:rPr>
            </w:pPr>
            <w:r>
              <w:rPr>
                <w:rFonts w:hint="eastAsia" w:ascii="宋体" w:hAnsi="宋体" w:cs="宋体"/>
                <w:color w:val="000000"/>
                <w:kern w:val="0"/>
                <w:sz w:val="20"/>
                <w:szCs w:val="20"/>
                <w:highlight w:val="none"/>
              </w:rPr>
              <w:t>——</w:t>
            </w: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37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615"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项目支出</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32542.73　</w:t>
            </w:r>
          </w:p>
        </w:tc>
        <w:tc>
          <w:tcPr>
            <w:tcW w:w="11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32542.73　</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37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136"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11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37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479" w:hRule="atLeast"/>
        </w:trPr>
        <w:tc>
          <w:tcPr>
            <w:tcW w:w="14174" w:type="dxa"/>
            <w:gridSpan w:val="9"/>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w:t>
            </w:r>
            <w:r>
              <w:rPr>
                <w:rFonts w:ascii="宋体" w:hAnsi="宋体" w:cs="宋体"/>
                <w:color w:val="000000"/>
                <w:kern w:val="0"/>
                <w:sz w:val="18"/>
                <w:szCs w:val="18"/>
              </w:rPr>
              <w:t>、</w:t>
            </w:r>
            <w:r>
              <w:rPr>
                <w:rFonts w:hint="eastAsia" w:ascii="宋体" w:hAnsi="宋体" w:cs="宋体"/>
                <w:color w:val="000000"/>
                <w:kern w:val="0"/>
                <w:sz w:val="20"/>
                <w:szCs w:val="20"/>
              </w:rPr>
              <w:t>整体绩效目标实现情况（60分）</w:t>
            </w:r>
          </w:p>
        </w:tc>
      </w:tr>
      <w:tr>
        <w:tblPrEx>
          <w:tblLayout w:type="fixed"/>
          <w:tblCellMar>
            <w:top w:w="0" w:type="dxa"/>
            <w:left w:w="108" w:type="dxa"/>
            <w:bottom w:w="0" w:type="dxa"/>
            <w:right w:w="108" w:type="dxa"/>
          </w:tblCellMar>
        </w:tblPrEx>
        <w:trPr>
          <w:cantSplit/>
          <w:trHeight w:val="499"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96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11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11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716" w:type="dxa"/>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3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38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Layout w:type="fixed"/>
          <w:tblCellMar>
            <w:top w:w="0" w:type="dxa"/>
            <w:left w:w="108" w:type="dxa"/>
            <w:bottom w:w="0" w:type="dxa"/>
            <w:right w:w="108" w:type="dxa"/>
          </w:tblCellMar>
        </w:tblPrEx>
        <w:trPr>
          <w:cantSplit/>
          <w:trHeight w:val="1196" w:hRule="atLeast"/>
        </w:trPr>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整体绩效目标实现情况（60）</w:t>
            </w:r>
          </w:p>
        </w:tc>
        <w:tc>
          <w:tcPr>
            <w:tcW w:w="961" w:type="dxa"/>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产出（30）</w:t>
            </w:r>
          </w:p>
        </w:tc>
        <w:tc>
          <w:tcPr>
            <w:tcW w:w="11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p>
          <w:p>
            <w:pPr>
              <w:jc w:val="center"/>
              <w:rPr>
                <w:rFonts w:ascii="宋体" w:hAnsi="宋体" w:cs="宋体"/>
                <w:color w:val="000000"/>
                <w:kern w:val="0"/>
                <w:sz w:val="18"/>
                <w:szCs w:val="18"/>
              </w:rPr>
            </w:pPr>
            <w:r>
              <w:rPr>
                <w:rFonts w:hint="eastAsia" w:ascii="宋体" w:hAnsi="宋体" w:cs="宋体"/>
                <w:color w:val="000000"/>
                <w:kern w:val="0"/>
                <w:sz w:val="18"/>
                <w:szCs w:val="18"/>
              </w:rPr>
              <w:t>调研课题数量</w:t>
            </w:r>
          </w:p>
        </w:tc>
        <w:tc>
          <w:tcPr>
            <w:tcW w:w="11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p>
          <w:p>
            <w:pPr>
              <w:jc w:val="center"/>
              <w:rPr>
                <w:rFonts w:ascii="宋体" w:hAnsi="宋体" w:cs="宋体"/>
                <w:color w:val="auto"/>
                <w:kern w:val="0"/>
                <w:sz w:val="18"/>
                <w:szCs w:val="18"/>
              </w:rPr>
            </w:pPr>
            <w:r>
              <w:rPr>
                <w:rFonts w:hint="eastAsia" w:ascii="宋体" w:hAnsi="宋体" w:cs="宋体"/>
                <w:color w:val="auto"/>
                <w:kern w:val="0"/>
                <w:sz w:val="18"/>
                <w:szCs w:val="18"/>
              </w:rPr>
              <w:t>　≥1个</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p>
          <w:p>
            <w:pPr>
              <w:jc w:val="center"/>
              <w:rPr>
                <w:rFonts w:ascii="宋体" w:hAnsi="宋体" w:cs="宋体"/>
                <w:color w:val="auto"/>
                <w:kern w:val="0"/>
                <w:sz w:val="20"/>
                <w:szCs w:val="20"/>
              </w:rPr>
            </w:pPr>
            <w:r>
              <w:rPr>
                <w:rFonts w:hint="eastAsia" w:ascii="宋体" w:hAnsi="宋体" w:cs="宋体"/>
                <w:color w:val="auto"/>
                <w:kern w:val="0"/>
                <w:sz w:val="18"/>
                <w:szCs w:val="18"/>
              </w:rPr>
              <w:t>≥1个</w:t>
            </w:r>
            <w:r>
              <w:rPr>
                <w:rFonts w:hint="eastAsia" w:ascii="宋体" w:hAnsi="宋体" w:cs="宋体"/>
                <w:color w:val="auto"/>
                <w:kern w:val="0"/>
                <w:sz w:val="20"/>
                <w:szCs w:val="20"/>
              </w:rPr>
              <w:t>　</w:t>
            </w:r>
          </w:p>
        </w:tc>
        <w:tc>
          <w:tcPr>
            <w:tcW w:w="616" w:type="dxa"/>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716" w:type="dxa"/>
            <w:vMerge w:val="restart"/>
            <w:tcBorders>
              <w:top w:val="single" w:color="auto" w:sz="4" w:space="0"/>
              <w:left w:val="nil"/>
              <w:right w:val="nil"/>
            </w:tcBorders>
            <w:vAlign w:val="center"/>
          </w:tcPr>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3747"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产出数量</w:t>
            </w:r>
            <w:r>
              <w:rPr>
                <w:rFonts w:hint="eastAsia" w:ascii="宋体" w:hAnsi="宋体" w:cs="宋体"/>
                <w:color w:val="000000"/>
                <w:kern w:val="0"/>
                <w:sz w:val="18"/>
                <w:szCs w:val="18"/>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Fonts w:hint="eastAsia" w:ascii="宋体" w:hAnsi="宋体" w:cs="宋体"/>
                <w:b/>
                <w:bCs/>
                <w:color w:val="000000"/>
                <w:kern w:val="0"/>
                <w:sz w:val="18"/>
                <w:szCs w:val="18"/>
              </w:rPr>
              <w:t>产出质量</w:t>
            </w:r>
            <w:r>
              <w:rPr>
                <w:rFonts w:hint="eastAsia" w:ascii="宋体" w:hAnsi="宋体" w:cs="宋体"/>
                <w:color w:val="000000"/>
                <w:kern w:val="0"/>
                <w:sz w:val="18"/>
                <w:szCs w:val="18"/>
              </w:rPr>
              <w:t>：质量达标率=质量达标工作数/实际完成工作数×100%。质量达标工作数：一定时期（年度或规划期）内部门（单位）实际完成工作数中达到部门绩效目标要求（绩效标准值）的工作任务数量。</w:t>
            </w:r>
          </w:p>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产出进度：</w:t>
            </w:r>
            <w:r>
              <w:rPr>
                <w:rFonts w:hint="eastAsia" w:ascii="宋体" w:hAnsi="宋体" w:cs="宋体"/>
                <w:color w:val="000000"/>
                <w:kern w:val="0"/>
                <w:sz w:val="18"/>
                <w:szCs w:val="18"/>
              </w:rPr>
              <w:t>按时完成率=（按时完成工作数/实际完成工作数）×100%。按时完成工作数：部门（单位）按照整体绩效目标确定的时限实际完成的工作任务数量。</w:t>
            </w:r>
          </w:p>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产出成本</w:t>
            </w:r>
            <w:r>
              <w:rPr>
                <w:rFonts w:hint="eastAsia" w:ascii="宋体" w:hAnsi="宋体" w:cs="宋体"/>
                <w:color w:val="000000"/>
                <w:kern w:val="0"/>
                <w:sz w:val="18"/>
                <w:szCs w:val="18"/>
              </w:rPr>
              <w:t>：单位产出相对于上一年度的节约额；②单位产出相对于市场同类产出的节约额；③部门公用经费的控制情况。</w:t>
            </w:r>
          </w:p>
        </w:tc>
        <w:tc>
          <w:tcPr>
            <w:tcW w:w="3830"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部门根据本单位情况自行确定并选择产出指标，合理确定各项指标权重。可量化的指标按照比率*单项指标分值即为该指标得分。如果不能定量评价，则以定性的方式进行自评。</w:t>
            </w:r>
          </w:p>
        </w:tc>
      </w:tr>
      <w:tr>
        <w:tblPrEx>
          <w:tblLayout w:type="fixed"/>
          <w:tblCellMar>
            <w:top w:w="0" w:type="dxa"/>
            <w:left w:w="108" w:type="dxa"/>
            <w:bottom w:w="0" w:type="dxa"/>
            <w:right w:w="108" w:type="dxa"/>
          </w:tblCellMar>
        </w:tblPrEx>
        <w:trPr>
          <w:cantSplit/>
          <w:trHeight w:val="1130"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课题研究进度</w:t>
            </w:r>
          </w:p>
        </w:tc>
        <w:tc>
          <w:tcPr>
            <w:tcW w:w="11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优良中低差</w:t>
            </w:r>
          </w:p>
        </w:tc>
        <w:tc>
          <w:tcPr>
            <w:tcW w:w="1007" w:type="dxa"/>
            <w:tcBorders>
              <w:top w:val="single" w:color="auto" w:sz="4" w:space="0"/>
              <w:left w:val="nil"/>
              <w:bottom w:val="single" w:color="auto" w:sz="4" w:space="0"/>
              <w:right w:val="single" w:color="auto" w:sz="4" w:space="0"/>
            </w:tcBorders>
            <w:vAlign w:val="center"/>
          </w:tcPr>
          <w:p>
            <w:pPr>
              <w:widowControl/>
              <w:ind w:firstLine="200" w:firstLineChars="100"/>
              <w:rPr>
                <w:rFonts w:ascii="宋体" w:hAnsi="宋体" w:cs="宋体"/>
                <w:color w:val="auto"/>
                <w:kern w:val="0"/>
                <w:sz w:val="20"/>
                <w:szCs w:val="20"/>
              </w:rPr>
            </w:pPr>
            <w:r>
              <w:rPr>
                <w:rFonts w:hint="eastAsia" w:ascii="宋体" w:hAnsi="宋体" w:cs="宋体"/>
                <w:color w:val="auto"/>
                <w:kern w:val="0"/>
                <w:sz w:val="20"/>
                <w:szCs w:val="20"/>
              </w:rPr>
              <w:t>优</w:t>
            </w:r>
          </w:p>
        </w:tc>
        <w:tc>
          <w:tcPr>
            <w:tcW w:w="61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left w:val="nil"/>
              <w:right w:val="nil"/>
            </w:tcBorders>
            <w:vAlign w:val="center"/>
          </w:tcPr>
          <w:p>
            <w:pPr>
              <w:widowControl/>
              <w:jc w:val="center"/>
              <w:rPr>
                <w:rFonts w:ascii="宋体" w:hAnsi="宋体" w:cs="宋体"/>
                <w:color w:val="000000"/>
                <w:kern w:val="0"/>
                <w:sz w:val="20"/>
                <w:szCs w:val="20"/>
              </w:rPr>
            </w:pPr>
          </w:p>
        </w:tc>
        <w:tc>
          <w:tcPr>
            <w:tcW w:w="374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1258"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兑现企业数量</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　≥1</w:t>
            </w:r>
            <w:r>
              <w:rPr>
                <w:rFonts w:ascii="宋体" w:hAnsi="宋体" w:cs="宋体"/>
                <w:color w:val="auto"/>
                <w:kern w:val="0"/>
                <w:sz w:val="18"/>
                <w:szCs w:val="18"/>
              </w:rPr>
              <w:t>8</w:t>
            </w:r>
            <w:r>
              <w:rPr>
                <w:rFonts w:hint="eastAsia" w:ascii="宋体" w:hAnsi="宋体" w:cs="宋体"/>
                <w:color w:val="auto"/>
                <w:kern w:val="0"/>
                <w:sz w:val="18"/>
                <w:szCs w:val="18"/>
              </w:rPr>
              <w:t>家</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18"/>
                <w:szCs w:val="18"/>
              </w:rPr>
              <w:t>　≥1</w:t>
            </w:r>
            <w:r>
              <w:rPr>
                <w:rFonts w:ascii="宋体" w:hAnsi="宋体" w:cs="宋体"/>
                <w:color w:val="auto"/>
                <w:kern w:val="0"/>
                <w:sz w:val="18"/>
                <w:szCs w:val="18"/>
              </w:rPr>
              <w:t>8</w:t>
            </w:r>
            <w:r>
              <w:rPr>
                <w:rFonts w:hint="eastAsia" w:ascii="宋体" w:hAnsi="宋体" w:cs="宋体"/>
                <w:color w:val="auto"/>
                <w:kern w:val="0"/>
                <w:sz w:val="18"/>
                <w:szCs w:val="18"/>
              </w:rPr>
              <w:t>家</w:t>
            </w:r>
            <w:r>
              <w:rPr>
                <w:rFonts w:hint="eastAsia" w:ascii="宋体" w:hAnsi="宋体" w:cs="宋体"/>
                <w:color w:val="auto"/>
                <w:kern w:val="0"/>
                <w:sz w:val="20"/>
                <w:szCs w:val="20"/>
              </w:rPr>
              <w:t>　</w:t>
            </w:r>
          </w:p>
        </w:tc>
        <w:tc>
          <w:tcPr>
            <w:tcW w:w="61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left w:val="nil"/>
              <w:right w:val="nil"/>
            </w:tcBorders>
            <w:vAlign w:val="center"/>
          </w:tcPr>
          <w:p>
            <w:pPr>
              <w:widowControl/>
              <w:jc w:val="center"/>
              <w:rPr>
                <w:rFonts w:ascii="宋体" w:hAnsi="宋体" w:cs="宋体"/>
                <w:color w:val="000000"/>
                <w:kern w:val="0"/>
                <w:sz w:val="20"/>
                <w:szCs w:val="20"/>
              </w:rPr>
            </w:pPr>
          </w:p>
        </w:tc>
        <w:tc>
          <w:tcPr>
            <w:tcW w:w="374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393"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开展异地招商引资</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≥3次</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18"/>
                <w:szCs w:val="18"/>
              </w:rPr>
              <w:t>　≥3</w:t>
            </w:r>
          </w:p>
        </w:tc>
        <w:tc>
          <w:tcPr>
            <w:tcW w:w="61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left w:val="nil"/>
              <w:right w:val="nil"/>
            </w:tcBorders>
            <w:vAlign w:val="center"/>
          </w:tcPr>
          <w:p>
            <w:pPr>
              <w:widowControl/>
              <w:jc w:val="center"/>
              <w:rPr>
                <w:rFonts w:ascii="宋体" w:hAnsi="宋体" w:cs="宋体"/>
                <w:color w:val="000000"/>
                <w:kern w:val="0"/>
                <w:sz w:val="20"/>
                <w:szCs w:val="20"/>
              </w:rPr>
            </w:pPr>
          </w:p>
        </w:tc>
        <w:tc>
          <w:tcPr>
            <w:tcW w:w="374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393"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开展宣传推介活动</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≥2次</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18"/>
                <w:szCs w:val="18"/>
              </w:rPr>
              <w:t>≥2次</w:t>
            </w:r>
          </w:p>
        </w:tc>
        <w:tc>
          <w:tcPr>
            <w:tcW w:w="61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left w:val="nil"/>
              <w:right w:val="nil"/>
            </w:tcBorders>
            <w:vAlign w:val="center"/>
          </w:tcPr>
          <w:p>
            <w:pPr>
              <w:widowControl/>
              <w:jc w:val="center"/>
              <w:rPr>
                <w:rFonts w:ascii="宋体" w:hAnsi="宋体" w:cs="宋体"/>
                <w:color w:val="000000"/>
                <w:kern w:val="0"/>
                <w:sz w:val="20"/>
                <w:szCs w:val="20"/>
              </w:rPr>
            </w:pPr>
          </w:p>
        </w:tc>
        <w:tc>
          <w:tcPr>
            <w:tcW w:w="374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393"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网文宣传</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00</w:t>
            </w:r>
            <w:r>
              <w:rPr>
                <w:rFonts w:hint="eastAsia" w:ascii="宋体" w:hAnsi="宋体" w:cs="宋体"/>
                <w:color w:val="000000"/>
                <w:kern w:val="0"/>
                <w:sz w:val="18"/>
                <w:szCs w:val="18"/>
              </w:rPr>
              <w:t>篇</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18"/>
                <w:szCs w:val="18"/>
              </w:rPr>
              <w:t>≥2</w:t>
            </w:r>
            <w:r>
              <w:rPr>
                <w:rFonts w:ascii="宋体" w:hAnsi="宋体" w:cs="宋体"/>
                <w:color w:val="000000"/>
                <w:kern w:val="0"/>
                <w:sz w:val="18"/>
                <w:szCs w:val="18"/>
              </w:rPr>
              <w:t>00</w:t>
            </w:r>
            <w:r>
              <w:rPr>
                <w:rFonts w:hint="eastAsia" w:ascii="宋体" w:hAnsi="宋体" w:cs="宋体"/>
                <w:color w:val="000000"/>
                <w:kern w:val="0"/>
                <w:sz w:val="18"/>
                <w:szCs w:val="18"/>
              </w:rPr>
              <w:t>篇</w:t>
            </w:r>
          </w:p>
        </w:tc>
        <w:tc>
          <w:tcPr>
            <w:tcW w:w="61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left w:val="nil"/>
              <w:right w:val="nil"/>
            </w:tcBorders>
            <w:vAlign w:val="center"/>
          </w:tcPr>
          <w:p>
            <w:pPr>
              <w:widowControl/>
              <w:jc w:val="center"/>
              <w:rPr>
                <w:rFonts w:ascii="宋体" w:hAnsi="宋体" w:cs="宋体"/>
                <w:color w:val="000000"/>
                <w:kern w:val="0"/>
                <w:sz w:val="20"/>
                <w:szCs w:val="20"/>
              </w:rPr>
            </w:pPr>
          </w:p>
        </w:tc>
        <w:tc>
          <w:tcPr>
            <w:tcW w:w="374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393"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举办座谈交流会</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≥1次</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18"/>
                <w:szCs w:val="18"/>
              </w:rPr>
              <w:t>≥1次</w:t>
            </w:r>
          </w:p>
        </w:tc>
        <w:tc>
          <w:tcPr>
            <w:tcW w:w="61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left w:val="nil"/>
              <w:right w:val="nil"/>
            </w:tcBorders>
            <w:vAlign w:val="center"/>
          </w:tcPr>
          <w:p>
            <w:pPr>
              <w:widowControl/>
              <w:jc w:val="center"/>
              <w:rPr>
                <w:rFonts w:ascii="宋体" w:hAnsi="宋体" w:cs="宋体"/>
                <w:color w:val="000000"/>
                <w:kern w:val="0"/>
                <w:sz w:val="20"/>
                <w:szCs w:val="20"/>
              </w:rPr>
            </w:pPr>
          </w:p>
        </w:tc>
        <w:tc>
          <w:tcPr>
            <w:tcW w:w="374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393"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开展党建活动</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次</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次</w:t>
            </w:r>
          </w:p>
        </w:tc>
        <w:tc>
          <w:tcPr>
            <w:tcW w:w="616"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left w:val="nil"/>
              <w:right w:val="nil"/>
            </w:tcBorders>
            <w:vAlign w:val="center"/>
          </w:tcPr>
          <w:p>
            <w:pPr>
              <w:widowControl/>
              <w:jc w:val="center"/>
              <w:rPr>
                <w:rFonts w:ascii="宋体" w:hAnsi="宋体" w:cs="宋体"/>
                <w:color w:val="000000"/>
                <w:kern w:val="0"/>
                <w:sz w:val="20"/>
                <w:szCs w:val="20"/>
              </w:rPr>
            </w:pPr>
          </w:p>
        </w:tc>
        <w:tc>
          <w:tcPr>
            <w:tcW w:w="3747"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2393"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保障中心业务正常开展</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w:t>
            </w:r>
          </w:p>
        </w:tc>
        <w:tc>
          <w:tcPr>
            <w:tcW w:w="61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left w:val="nil"/>
              <w:bottom w:val="single" w:color="auto" w:sz="4" w:space="0"/>
              <w:right w:val="nil"/>
            </w:tcBorders>
            <w:vAlign w:val="center"/>
          </w:tcPr>
          <w:p>
            <w:pPr>
              <w:widowControl/>
              <w:jc w:val="center"/>
              <w:rPr>
                <w:rFonts w:ascii="宋体" w:hAnsi="宋体" w:cs="宋体"/>
                <w:color w:val="000000"/>
                <w:kern w:val="0"/>
                <w:sz w:val="20"/>
                <w:szCs w:val="20"/>
              </w:rPr>
            </w:pPr>
          </w:p>
        </w:tc>
        <w:tc>
          <w:tcPr>
            <w:tcW w:w="374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675"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效果（30）</w:t>
            </w:r>
          </w:p>
        </w:tc>
        <w:tc>
          <w:tcPr>
            <w:tcW w:w="115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促进区域经济发展</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　</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中</w:t>
            </w:r>
          </w:p>
        </w:tc>
        <w:tc>
          <w:tcPr>
            <w:tcW w:w="61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716" w:type="dxa"/>
            <w:vMerge w:val="restart"/>
            <w:tcBorders>
              <w:top w:val="nil"/>
              <w:left w:val="nil"/>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　25</w:t>
            </w:r>
          </w:p>
        </w:tc>
        <w:tc>
          <w:tcPr>
            <w:tcW w:w="3747"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经济效益</w:t>
            </w:r>
            <w:r>
              <w:rPr>
                <w:rFonts w:hint="eastAsia" w:ascii="宋体" w:hAnsi="宋体" w:cs="宋体"/>
                <w:color w:val="000000"/>
                <w:kern w:val="0"/>
                <w:sz w:val="18"/>
                <w:szCs w:val="18"/>
              </w:rPr>
              <w:t>：部门（单位）履行职责对经济发展所带来的直接或间接影响。</w:t>
            </w:r>
            <w:r>
              <w:rPr>
                <w:rFonts w:hint="eastAsia" w:ascii="宋体" w:hAnsi="宋体" w:cs="宋体"/>
                <w:b/>
                <w:bCs/>
                <w:color w:val="000000"/>
                <w:kern w:val="0"/>
                <w:sz w:val="18"/>
                <w:szCs w:val="18"/>
              </w:rPr>
              <w:t>社会效益</w:t>
            </w:r>
            <w:r>
              <w:rPr>
                <w:rFonts w:hint="eastAsia" w:ascii="宋体" w:hAnsi="宋体" w:cs="宋体"/>
                <w:color w:val="000000"/>
                <w:kern w:val="0"/>
                <w:sz w:val="18"/>
                <w:szCs w:val="18"/>
              </w:rPr>
              <w:t>：部门（单位）履行职责对社会发展所带来的直接或间接影响。</w:t>
            </w:r>
            <w:r>
              <w:rPr>
                <w:rFonts w:hint="eastAsia" w:ascii="宋体" w:hAnsi="宋体" w:cs="宋体"/>
                <w:b/>
                <w:bCs/>
                <w:color w:val="000000"/>
                <w:kern w:val="0"/>
                <w:sz w:val="18"/>
                <w:szCs w:val="18"/>
              </w:rPr>
              <w:t>环境效益</w:t>
            </w:r>
            <w:r>
              <w:rPr>
                <w:rFonts w:hint="eastAsia" w:ascii="宋体" w:hAnsi="宋体" w:cs="宋体"/>
                <w:color w:val="000000"/>
                <w:kern w:val="0"/>
                <w:sz w:val="18"/>
                <w:szCs w:val="18"/>
              </w:rPr>
              <w:t>：部门（单位）履行职责对环境所带来的直接或间接影响。</w:t>
            </w:r>
            <w:r>
              <w:rPr>
                <w:rFonts w:hint="eastAsia" w:ascii="宋体" w:hAnsi="宋体" w:cs="宋体"/>
                <w:b/>
                <w:bCs/>
                <w:color w:val="000000"/>
                <w:kern w:val="0"/>
                <w:sz w:val="18"/>
                <w:szCs w:val="18"/>
              </w:rPr>
              <w:t>可持续性影响：</w:t>
            </w:r>
            <w:r>
              <w:rPr>
                <w:rFonts w:hint="eastAsia" w:ascii="宋体" w:hAnsi="宋体" w:cs="宋体"/>
                <w:color w:val="000000"/>
                <w:kern w:val="0"/>
                <w:sz w:val="18"/>
                <w:szCs w:val="18"/>
              </w:rPr>
              <w:t>部门绩效目标实现的长效机制建设情况，部门工作效率提升措施的创新。</w:t>
            </w:r>
            <w:r>
              <w:rPr>
                <w:rFonts w:hint="eastAsia" w:ascii="宋体" w:hAnsi="宋体" w:cs="宋体"/>
                <w:b/>
                <w:bCs/>
                <w:color w:val="000000"/>
                <w:kern w:val="0"/>
                <w:sz w:val="18"/>
                <w:szCs w:val="18"/>
              </w:rPr>
              <w:t>服务对象满意度</w:t>
            </w:r>
            <w:r>
              <w:rPr>
                <w:rFonts w:hint="eastAsia" w:ascii="宋体" w:hAnsi="宋体" w:cs="宋体"/>
                <w:color w:val="000000"/>
                <w:kern w:val="0"/>
                <w:sz w:val="18"/>
                <w:szCs w:val="18"/>
              </w:rPr>
              <w:t>：部门（单位）的服务对象对部门履职效果的满意程度。</w:t>
            </w:r>
          </w:p>
        </w:tc>
        <w:tc>
          <w:tcPr>
            <w:tcW w:w="3830"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部门根据实际情况选择指标进行填写，并将其细化为相应的个性化指标。对于效益类指标可从受益对象瞄准度、受益广度和受益深度上进行设计分析。</w:t>
            </w:r>
          </w:p>
        </w:tc>
      </w:tr>
      <w:tr>
        <w:tblPrEx>
          <w:tblLayout w:type="fixed"/>
          <w:tblCellMar>
            <w:top w:w="0" w:type="dxa"/>
            <w:left w:w="108" w:type="dxa"/>
            <w:bottom w:w="0" w:type="dxa"/>
            <w:right w:w="108" w:type="dxa"/>
          </w:tblCellMar>
        </w:tblPrEx>
        <w:trPr>
          <w:cantSplit/>
          <w:trHeight w:val="1160"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持续提高区域影响力</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　</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w:t>
            </w:r>
          </w:p>
        </w:tc>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16" w:type="dxa"/>
            <w:vMerge w:val="continue"/>
            <w:tcBorders>
              <w:left w:val="nil"/>
              <w:bottom w:val="single" w:color="auto" w:sz="4" w:space="0"/>
              <w:right w:val="nil"/>
            </w:tcBorders>
            <w:vAlign w:val="center"/>
          </w:tcPr>
          <w:p>
            <w:pPr>
              <w:widowControl/>
              <w:jc w:val="center"/>
              <w:rPr>
                <w:rFonts w:ascii="宋体" w:hAnsi="宋体" w:cs="宋体"/>
                <w:color w:val="000000"/>
                <w:kern w:val="0"/>
                <w:sz w:val="20"/>
                <w:szCs w:val="20"/>
              </w:rPr>
            </w:pPr>
          </w:p>
        </w:tc>
        <w:tc>
          <w:tcPr>
            <w:tcW w:w="37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8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cantSplit/>
          <w:trHeight w:val="487" w:hRule="atLeast"/>
        </w:trPr>
        <w:tc>
          <w:tcPr>
            <w:tcW w:w="14174"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w:t>
            </w:r>
            <w:r>
              <w:rPr>
                <w:rFonts w:ascii="宋体" w:hAnsi="宋体" w:cs="宋体"/>
                <w:color w:val="000000"/>
                <w:kern w:val="0"/>
                <w:sz w:val="18"/>
                <w:szCs w:val="18"/>
              </w:rPr>
              <w:t>、</w:t>
            </w:r>
            <w:r>
              <w:rPr>
                <w:rFonts w:hint="eastAsia" w:ascii="宋体" w:hAnsi="宋体" w:cs="宋体"/>
                <w:color w:val="000000"/>
                <w:kern w:val="0"/>
                <w:sz w:val="20"/>
                <w:szCs w:val="20"/>
              </w:rPr>
              <w:t>预算管理情况（20分）</w:t>
            </w:r>
          </w:p>
        </w:tc>
      </w:tr>
      <w:tr>
        <w:tblPrEx>
          <w:tblLayout w:type="fixed"/>
          <w:tblCellMar>
            <w:top w:w="0" w:type="dxa"/>
            <w:left w:w="108" w:type="dxa"/>
            <w:bottom w:w="0" w:type="dxa"/>
            <w:right w:w="108" w:type="dxa"/>
          </w:tblCellMar>
        </w:tblPrEx>
        <w:trPr>
          <w:cantSplit/>
          <w:trHeight w:val="702"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p>
        </w:tc>
        <w:tc>
          <w:tcPr>
            <w:tcW w:w="11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p>
        </w:tc>
        <w:tc>
          <w:tcPr>
            <w:tcW w:w="11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w:t>
            </w:r>
            <w:r>
              <w:rPr>
                <w:rFonts w:ascii="宋体" w:hAnsi="宋体" w:cs="宋体"/>
                <w:color w:val="000000"/>
                <w:kern w:val="0"/>
                <w:sz w:val="20"/>
                <w:szCs w:val="20"/>
              </w:rPr>
              <w:t>值</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值</w:t>
            </w:r>
          </w:p>
        </w:tc>
        <w:tc>
          <w:tcPr>
            <w:tcW w:w="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w:t>
            </w:r>
            <w:r>
              <w:rPr>
                <w:rFonts w:ascii="宋体" w:hAnsi="宋体" w:cs="宋体"/>
                <w:color w:val="000000"/>
                <w:kern w:val="0"/>
                <w:sz w:val="20"/>
                <w:szCs w:val="20"/>
              </w:rPr>
              <w:t>值</w:t>
            </w:r>
          </w:p>
        </w:tc>
        <w:tc>
          <w:tcPr>
            <w:tcW w:w="716" w:type="dxa"/>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w:t>
            </w:r>
            <w:r>
              <w:rPr>
                <w:rFonts w:ascii="宋体" w:hAnsi="宋体" w:cs="宋体"/>
                <w:color w:val="000000"/>
                <w:kern w:val="0"/>
                <w:sz w:val="20"/>
                <w:szCs w:val="20"/>
              </w:rPr>
              <w:t>分</w:t>
            </w:r>
          </w:p>
        </w:tc>
        <w:tc>
          <w:tcPr>
            <w:tcW w:w="3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38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Layout w:type="fixed"/>
          <w:tblCellMar>
            <w:top w:w="0" w:type="dxa"/>
            <w:left w:w="108" w:type="dxa"/>
            <w:bottom w:w="0" w:type="dxa"/>
            <w:right w:w="108" w:type="dxa"/>
          </w:tblCellMar>
        </w:tblPrEx>
        <w:trPr>
          <w:cantSplit/>
          <w:trHeight w:val="1230" w:hRule="atLeast"/>
        </w:trPr>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预算管理情况（20）</w:t>
            </w:r>
          </w:p>
        </w:tc>
        <w:tc>
          <w:tcPr>
            <w:tcW w:w="9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财务管理（4）</w:t>
            </w:r>
          </w:p>
        </w:tc>
        <w:tc>
          <w:tcPr>
            <w:tcW w:w="11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财务管理制度健全性</w:t>
            </w:r>
          </w:p>
        </w:tc>
        <w:tc>
          <w:tcPr>
            <w:tcW w:w="113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制度健全性</w:t>
            </w:r>
          </w:p>
        </w:tc>
        <w:tc>
          <w:tcPr>
            <w:tcW w:w="1007"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制度健全</w:t>
            </w:r>
          </w:p>
        </w:tc>
        <w:tc>
          <w:tcPr>
            <w:tcW w:w="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16" w:type="dxa"/>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1</w:t>
            </w:r>
          </w:p>
        </w:tc>
        <w:tc>
          <w:tcPr>
            <w:tcW w:w="37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财务管理制度健全性:</w:t>
            </w:r>
            <w:r>
              <w:rPr>
                <w:rFonts w:hint="eastAsia" w:ascii="宋体" w:hAnsi="宋体" w:cs="宋体"/>
                <w:color w:val="000000"/>
                <w:kern w:val="0"/>
                <w:sz w:val="18"/>
                <w:szCs w:val="18"/>
              </w:rPr>
              <w:t>部门（单位）为加强财务管理、规范财务行为而制定的管理制度。</w:t>
            </w:r>
          </w:p>
        </w:tc>
        <w:tc>
          <w:tcPr>
            <w:tcW w:w="3830" w:type="dxa"/>
            <w:tcBorders>
              <w:top w:val="single" w:color="auto" w:sz="4" w:space="0"/>
              <w:left w:val="nil"/>
              <w:bottom w:val="single" w:color="auto" w:sz="4" w:space="0"/>
              <w:right w:val="single" w:color="auto" w:sz="4" w:space="0"/>
            </w:tcBorders>
            <w:vAlign w:val="center"/>
          </w:tcPr>
          <w:p>
            <w:pPr>
              <w:widowControl/>
              <w:jc w:val="left"/>
              <w:rPr>
                <w:rFonts w:ascii="等线" w:hAnsi="等线" w:eastAsia="等线"/>
                <w:color w:val="000000"/>
                <w:sz w:val="18"/>
                <w:szCs w:val="18"/>
              </w:rPr>
            </w:pPr>
            <w:r>
              <w:rPr>
                <w:rFonts w:hint="eastAsia" w:ascii="等线" w:hAnsi="等线" w:eastAsia="等线"/>
                <w:color w:val="000000"/>
                <w:sz w:val="18"/>
                <w:szCs w:val="18"/>
              </w:rPr>
              <w:t>①预算资金管理办法、绩效跟踪管理办法、资产管理办法等各项制度是否健全；②部门内部财务管理制度是否完整、合规；③会计核算制度是否完整、合规。每有一项不合格扣0.5分，扣完为止。</w:t>
            </w:r>
          </w:p>
        </w:tc>
      </w:tr>
      <w:tr>
        <w:tblPrEx>
          <w:tblLayout w:type="fixed"/>
          <w:tblCellMar>
            <w:top w:w="0" w:type="dxa"/>
            <w:left w:w="108" w:type="dxa"/>
            <w:bottom w:w="0" w:type="dxa"/>
            <w:right w:w="108" w:type="dxa"/>
          </w:tblCellMar>
        </w:tblPrEx>
        <w:trPr>
          <w:cantSplit/>
          <w:trHeight w:val="1230" w:hRule="atLeast"/>
        </w:trPr>
        <w:tc>
          <w:tcPr>
            <w:tcW w:w="100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资金使用合规性和安全性</w:t>
            </w:r>
          </w:p>
        </w:tc>
        <w:tc>
          <w:tcPr>
            <w:tcW w:w="11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制度的合规性和安全性　</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资金管理和使用合规和安全</w:t>
            </w:r>
          </w:p>
        </w:tc>
        <w:tc>
          <w:tcPr>
            <w:tcW w:w="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16" w:type="dxa"/>
            <w:tcBorders>
              <w:top w:val="single" w:color="auto" w:sz="4" w:space="0"/>
              <w:left w:val="nil"/>
              <w:bottom w:val="single" w:color="auto" w:sz="4" w:space="0"/>
              <w:right w:val="nil"/>
            </w:tcBorders>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2　</w:t>
            </w:r>
          </w:p>
        </w:tc>
        <w:tc>
          <w:tcPr>
            <w:tcW w:w="37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资金使用合规性和安全性:</w:t>
            </w:r>
            <w:r>
              <w:rPr>
                <w:rFonts w:hint="eastAsia" w:ascii="等线" w:hAnsi="等线" w:eastAsia="等线"/>
                <w:color w:val="000000"/>
                <w:sz w:val="18"/>
                <w:szCs w:val="18"/>
              </w:rPr>
              <w:t>部门（单位）使用预算资金是否符合相关的预算财务管理制度的规定，是否符合相关规定的开支范围，用以反映考核部门（单位）预算资金的规范运行和安全运行情况。</w:t>
            </w:r>
          </w:p>
        </w:tc>
        <w:tc>
          <w:tcPr>
            <w:tcW w:w="383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等线" w:hAnsi="等线" w:eastAsia="等线"/>
                <w:color w:val="00000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tblPrEx>
          <w:tblLayout w:type="fixed"/>
          <w:tblCellMar>
            <w:top w:w="0" w:type="dxa"/>
            <w:left w:w="108" w:type="dxa"/>
            <w:bottom w:w="0" w:type="dxa"/>
            <w:right w:w="108" w:type="dxa"/>
          </w:tblCellMar>
        </w:tblPrEx>
        <w:trPr>
          <w:cantSplit/>
          <w:trHeight w:val="410"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5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会计基础信息完善性</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会计信息完整性</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会计信息完整　</w:t>
            </w:r>
          </w:p>
        </w:tc>
        <w:tc>
          <w:tcPr>
            <w:tcW w:w="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16" w:type="dxa"/>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　</w:t>
            </w:r>
          </w:p>
        </w:tc>
        <w:tc>
          <w:tcPr>
            <w:tcW w:w="374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会计基础信息完善性:</w:t>
            </w:r>
            <w:r>
              <w:rPr>
                <w:rFonts w:hint="eastAsia" w:ascii="宋体" w:hAnsi="宋体" w:cs="宋体"/>
                <w:color w:val="000000"/>
                <w:kern w:val="0"/>
                <w:sz w:val="18"/>
                <w:szCs w:val="18"/>
              </w:rPr>
              <w:t>部门（单位）会计基础信息情况。</w:t>
            </w:r>
          </w:p>
        </w:tc>
        <w:tc>
          <w:tcPr>
            <w:tcW w:w="38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①基础数据信息和会计信息资料是否真实；②基础数据信息和会计信息资料是否完整；③基础数据信息和会计信息资料是否准确。每有一项不合格扣0.5分，扣完为止。</w:t>
            </w:r>
          </w:p>
        </w:tc>
      </w:tr>
      <w:tr>
        <w:tblPrEx>
          <w:tblLayout w:type="fixed"/>
          <w:tblCellMar>
            <w:top w:w="0" w:type="dxa"/>
            <w:left w:w="108" w:type="dxa"/>
            <w:bottom w:w="0" w:type="dxa"/>
            <w:right w:w="108" w:type="dxa"/>
          </w:tblCellMar>
        </w:tblPrEx>
        <w:trPr>
          <w:cantSplit/>
          <w:trHeight w:val="2220"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资产管理（4）</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资产管理规范性</w:t>
            </w:r>
          </w:p>
        </w:tc>
        <w:tc>
          <w:tcPr>
            <w:tcW w:w="11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资产管理账实相符</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资产管理账实相符</w:t>
            </w:r>
          </w:p>
        </w:tc>
        <w:tc>
          <w:tcPr>
            <w:tcW w:w="6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c>
          <w:tcPr>
            <w:tcW w:w="37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资产管理规范性:</w:t>
            </w:r>
            <w:r>
              <w:rPr>
                <w:rFonts w:hint="eastAsia" w:ascii="宋体" w:hAnsi="宋体" w:cs="宋体"/>
                <w:color w:val="000000"/>
                <w:kern w:val="0"/>
                <w:sz w:val="18"/>
                <w:szCs w:val="18"/>
              </w:rPr>
              <w:t>部门（单位）的资产是否保持安全完整，资产配置是否合理，资产使用和资产处理是否规范，用以反映和考核部门（单位）资产管理的整体水平。</w:t>
            </w:r>
          </w:p>
        </w:tc>
        <w:tc>
          <w:tcPr>
            <w:tcW w:w="38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tblPrEx>
          <w:tblLayout w:type="fixed"/>
          <w:tblCellMar>
            <w:top w:w="0" w:type="dxa"/>
            <w:left w:w="108" w:type="dxa"/>
            <w:bottom w:w="0" w:type="dxa"/>
            <w:right w:w="108" w:type="dxa"/>
          </w:tblCellMar>
        </w:tblPrEx>
        <w:trPr>
          <w:cantSplit/>
          <w:trHeight w:val="1210"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绩效管理（4）</w:t>
            </w:r>
          </w:p>
        </w:tc>
        <w:tc>
          <w:tcPr>
            <w:tcW w:w="11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绩效管理情况</w:t>
            </w:r>
          </w:p>
        </w:tc>
        <w:tc>
          <w:tcPr>
            <w:tcW w:w="113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绩效目标实现良好</w:t>
            </w:r>
          </w:p>
        </w:tc>
        <w:tc>
          <w:tcPr>
            <w:tcW w:w="10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绩效目标实现良好</w:t>
            </w:r>
          </w:p>
        </w:tc>
        <w:tc>
          <w:tcPr>
            <w:tcW w:w="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16" w:type="dxa"/>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c>
          <w:tcPr>
            <w:tcW w:w="37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绩效管理情况:</w:t>
            </w:r>
            <w:r>
              <w:rPr>
                <w:rFonts w:hint="eastAsia" w:ascii="宋体" w:hAnsi="宋体" w:cs="宋体"/>
                <w:color w:val="000000"/>
                <w:kern w:val="0"/>
                <w:sz w:val="18"/>
                <w:szCs w:val="18"/>
              </w:rPr>
              <w:t>考核部门（单位）在绩效管理信息的汇总和应用情况。</w:t>
            </w:r>
          </w:p>
        </w:tc>
        <w:tc>
          <w:tcPr>
            <w:tcW w:w="383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①部门（单位）是否及时对绩效信息进行汇总分析整理；②部门（单位）是否对绩效目标偏离情况及时进行矫正。每有一项不合格扣2分。</w:t>
            </w:r>
          </w:p>
        </w:tc>
      </w:tr>
      <w:tr>
        <w:tblPrEx>
          <w:tblLayout w:type="fixed"/>
          <w:tblCellMar>
            <w:top w:w="0" w:type="dxa"/>
            <w:left w:w="108" w:type="dxa"/>
            <w:bottom w:w="0" w:type="dxa"/>
            <w:right w:w="108" w:type="dxa"/>
          </w:tblCellMar>
        </w:tblPrEx>
        <w:trPr>
          <w:cantSplit/>
          <w:trHeight w:val="394"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　</w:t>
            </w:r>
          </w:p>
        </w:tc>
        <w:tc>
          <w:tcPr>
            <w:tcW w:w="229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w:t>
            </w:r>
          </w:p>
        </w:tc>
        <w:tc>
          <w:tcPr>
            <w:tcW w:w="10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w:t>
            </w:r>
          </w:p>
        </w:tc>
        <w:tc>
          <w:tcPr>
            <w:tcW w:w="6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3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3830" w:type="dxa"/>
            <w:tcBorders>
              <w:top w:val="single" w:color="auto" w:sz="4" w:space="0"/>
              <w:left w:val="nil"/>
              <w:bottom w:val="single" w:color="auto" w:sz="4" w:space="0"/>
              <w:right w:val="single" w:color="auto" w:sz="4" w:space="0"/>
            </w:tcBorders>
            <w:vAlign w:val="center"/>
          </w:tcPr>
          <w:p>
            <w:pPr>
              <w:widowControl/>
              <w:jc w:val="center"/>
              <w:rPr>
                <w:rFonts w:eastAsia="Times New Roman"/>
                <w:kern w:val="0"/>
                <w:sz w:val="20"/>
                <w:szCs w:val="20"/>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Layout w:type="fixed"/>
          <w:tblCellMar>
            <w:top w:w="0" w:type="dxa"/>
            <w:left w:w="108" w:type="dxa"/>
            <w:bottom w:w="0" w:type="dxa"/>
            <w:right w:w="108" w:type="dxa"/>
          </w:tblCellMar>
        </w:tblPrEx>
        <w:trPr>
          <w:cantSplit/>
          <w:trHeight w:val="2004"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结转结余率（4）</w:t>
            </w:r>
          </w:p>
        </w:tc>
        <w:tc>
          <w:tcPr>
            <w:tcW w:w="2290"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资金管理规范　</w:t>
            </w:r>
          </w:p>
        </w:tc>
        <w:tc>
          <w:tcPr>
            <w:tcW w:w="100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资金管理规范　</w:t>
            </w:r>
          </w:p>
        </w:tc>
        <w:tc>
          <w:tcPr>
            <w:tcW w:w="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16" w:type="dxa"/>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4</w:t>
            </w:r>
          </w:p>
        </w:tc>
        <w:tc>
          <w:tcPr>
            <w:tcW w:w="37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结转结余率=结转结余总额/支出预算数×100%。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结转结余总额：部门（单位）本年度的结转资金与结余资金之和。</w:t>
            </w:r>
          </w:p>
        </w:tc>
        <w:tc>
          <w:tcPr>
            <w:tcW w:w="383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tblPrEx>
          <w:tblLayout w:type="fixed"/>
          <w:tblCellMar>
            <w:top w:w="0" w:type="dxa"/>
            <w:left w:w="108" w:type="dxa"/>
            <w:bottom w:w="0" w:type="dxa"/>
            <w:right w:w="108" w:type="dxa"/>
          </w:tblCellMar>
        </w:tblPrEx>
        <w:trPr>
          <w:cantSplit/>
          <w:trHeight w:val="981" w:hRule="atLeast"/>
        </w:trPr>
        <w:tc>
          <w:tcPr>
            <w:tcW w:w="10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61" w:type="dxa"/>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部门预决算差异率（4）</w:t>
            </w:r>
          </w:p>
        </w:tc>
        <w:tc>
          <w:tcPr>
            <w:tcW w:w="2290" w:type="dxa"/>
            <w:gridSpan w:val="2"/>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预决算管理规范</w:t>
            </w:r>
          </w:p>
        </w:tc>
        <w:tc>
          <w:tcPr>
            <w:tcW w:w="100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预决算管理规范</w:t>
            </w:r>
          </w:p>
        </w:tc>
        <w:tc>
          <w:tcPr>
            <w:tcW w:w="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16" w:type="dxa"/>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c>
          <w:tcPr>
            <w:tcW w:w="374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通过年度部门决算与年初部门预算对比，对部门的年度支出情况进行考核，衡量部门预算的约束力。</w:t>
            </w:r>
          </w:p>
        </w:tc>
        <w:tc>
          <w:tcPr>
            <w:tcW w:w="38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部门预决算差异率高于市级平均差异率（28.3%）的，每高出10%（含），扣0.4分，扣完为止。</w:t>
            </w:r>
          </w:p>
        </w:tc>
      </w:tr>
      <w:tr>
        <w:tblPrEx>
          <w:tblLayout w:type="fixed"/>
          <w:tblCellMar>
            <w:top w:w="0" w:type="dxa"/>
            <w:left w:w="108" w:type="dxa"/>
            <w:bottom w:w="0" w:type="dxa"/>
            <w:right w:w="108" w:type="dxa"/>
          </w:tblCellMar>
        </w:tblPrEx>
        <w:trPr>
          <w:cantSplit/>
          <w:trHeight w:val="484" w:hRule="atLeast"/>
        </w:trPr>
        <w:tc>
          <w:tcPr>
            <w:tcW w:w="526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6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716" w:type="dxa"/>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94.94</w:t>
            </w:r>
            <w:r>
              <w:rPr>
                <w:rFonts w:hint="eastAsia" w:ascii="宋体" w:hAnsi="宋体" w:cs="宋体"/>
                <w:color w:val="000000"/>
                <w:kern w:val="0"/>
                <w:sz w:val="20"/>
                <w:szCs w:val="20"/>
              </w:rPr>
              <w:t>　</w:t>
            </w:r>
          </w:p>
        </w:tc>
        <w:tc>
          <w:tcPr>
            <w:tcW w:w="757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line="560" w:lineRule="exact"/>
        <w:rPr>
          <w:rFonts w:ascii="方正小标宋简体" w:eastAsia="方正小标宋简体"/>
          <w:sz w:val="36"/>
          <w:szCs w:val="36"/>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YmUxZjFjYzFmOTgxNDYwMmFkNjgyMWMxMDIyMDYifQ=="/>
  </w:docVars>
  <w:rsids>
    <w:rsidRoot w:val="F77F09F4"/>
    <w:rsid w:val="000273A9"/>
    <w:rsid w:val="000C0B50"/>
    <w:rsid w:val="000D2128"/>
    <w:rsid w:val="000D2B99"/>
    <w:rsid w:val="000F736E"/>
    <w:rsid w:val="00102D4C"/>
    <w:rsid w:val="00117854"/>
    <w:rsid w:val="001B114F"/>
    <w:rsid w:val="001B55AE"/>
    <w:rsid w:val="001C1C0A"/>
    <w:rsid w:val="001C7035"/>
    <w:rsid w:val="001F1A86"/>
    <w:rsid w:val="0025458C"/>
    <w:rsid w:val="002808FB"/>
    <w:rsid w:val="002B6C33"/>
    <w:rsid w:val="002E2EA4"/>
    <w:rsid w:val="00312DCB"/>
    <w:rsid w:val="00332AFB"/>
    <w:rsid w:val="003C7A6C"/>
    <w:rsid w:val="003F287B"/>
    <w:rsid w:val="00493AE9"/>
    <w:rsid w:val="004B34D7"/>
    <w:rsid w:val="004C437B"/>
    <w:rsid w:val="00527DE2"/>
    <w:rsid w:val="005304BB"/>
    <w:rsid w:val="005547A3"/>
    <w:rsid w:val="00564FCD"/>
    <w:rsid w:val="00571AA4"/>
    <w:rsid w:val="005C50AE"/>
    <w:rsid w:val="005D0027"/>
    <w:rsid w:val="00613145"/>
    <w:rsid w:val="00620012"/>
    <w:rsid w:val="006354DD"/>
    <w:rsid w:val="00676731"/>
    <w:rsid w:val="006B4B0C"/>
    <w:rsid w:val="006B617D"/>
    <w:rsid w:val="006E2E53"/>
    <w:rsid w:val="006F5EDE"/>
    <w:rsid w:val="007A35C2"/>
    <w:rsid w:val="007B6D1E"/>
    <w:rsid w:val="007D7663"/>
    <w:rsid w:val="008054E8"/>
    <w:rsid w:val="0085486A"/>
    <w:rsid w:val="0086440C"/>
    <w:rsid w:val="008875CA"/>
    <w:rsid w:val="008A4927"/>
    <w:rsid w:val="008B644A"/>
    <w:rsid w:val="00927B93"/>
    <w:rsid w:val="0095687C"/>
    <w:rsid w:val="00964E61"/>
    <w:rsid w:val="009710EB"/>
    <w:rsid w:val="009750D0"/>
    <w:rsid w:val="00995504"/>
    <w:rsid w:val="009B3D19"/>
    <w:rsid w:val="009F683F"/>
    <w:rsid w:val="00A02845"/>
    <w:rsid w:val="00A25ED8"/>
    <w:rsid w:val="00A34AA4"/>
    <w:rsid w:val="00A365D9"/>
    <w:rsid w:val="00A64300"/>
    <w:rsid w:val="00A7444B"/>
    <w:rsid w:val="00A84B51"/>
    <w:rsid w:val="00A87171"/>
    <w:rsid w:val="00AA09FD"/>
    <w:rsid w:val="00AE5B33"/>
    <w:rsid w:val="00B177DD"/>
    <w:rsid w:val="00B207CE"/>
    <w:rsid w:val="00B417D0"/>
    <w:rsid w:val="00B41F0E"/>
    <w:rsid w:val="00B93318"/>
    <w:rsid w:val="00BE2ABC"/>
    <w:rsid w:val="00BF53F1"/>
    <w:rsid w:val="00C11927"/>
    <w:rsid w:val="00C6224E"/>
    <w:rsid w:val="00C65728"/>
    <w:rsid w:val="00C90BA8"/>
    <w:rsid w:val="00CB6B97"/>
    <w:rsid w:val="00CF42CD"/>
    <w:rsid w:val="00D23101"/>
    <w:rsid w:val="00D36210"/>
    <w:rsid w:val="00D64E72"/>
    <w:rsid w:val="00DD6879"/>
    <w:rsid w:val="00E26A5A"/>
    <w:rsid w:val="00E31776"/>
    <w:rsid w:val="00E46AD2"/>
    <w:rsid w:val="00E613A1"/>
    <w:rsid w:val="00E63435"/>
    <w:rsid w:val="00E73AF1"/>
    <w:rsid w:val="00E87680"/>
    <w:rsid w:val="00E97BD4"/>
    <w:rsid w:val="00EE3BEF"/>
    <w:rsid w:val="00EF5603"/>
    <w:rsid w:val="00F11701"/>
    <w:rsid w:val="00F418A9"/>
    <w:rsid w:val="00F47F96"/>
    <w:rsid w:val="00F64753"/>
    <w:rsid w:val="00F91038"/>
    <w:rsid w:val="00FD1006"/>
    <w:rsid w:val="01161381"/>
    <w:rsid w:val="02F72AEC"/>
    <w:rsid w:val="0834786E"/>
    <w:rsid w:val="0A592595"/>
    <w:rsid w:val="0BD55995"/>
    <w:rsid w:val="0E8D2557"/>
    <w:rsid w:val="15806971"/>
    <w:rsid w:val="16EB2510"/>
    <w:rsid w:val="175F53D8"/>
    <w:rsid w:val="17AE3C6A"/>
    <w:rsid w:val="184E1142"/>
    <w:rsid w:val="1B505558"/>
    <w:rsid w:val="1C766D20"/>
    <w:rsid w:val="1CEC0D90"/>
    <w:rsid w:val="24FD7FDE"/>
    <w:rsid w:val="25612202"/>
    <w:rsid w:val="268362C1"/>
    <w:rsid w:val="29455AB0"/>
    <w:rsid w:val="29673C78"/>
    <w:rsid w:val="2A420242"/>
    <w:rsid w:val="2B34402E"/>
    <w:rsid w:val="2DBB27E5"/>
    <w:rsid w:val="319E4FE6"/>
    <w:rsid w:val="347D07F4"/>
    <w:rsid w:val="368220F2"/>
    <w:rsid w:val="36A67E02"/>
    <w:rsid w:val="37173543"/>
    <w:rsid w:val="3724764D"/>
    <w:rsid w:val="3A7E7074"/>
    <w:rsid w:val="3FDBA076"/>
    <w:rsid w:val="3FDFB3F0"/>
    <w:rsid w:val="3FDFC9A6"/>
    <w:rsid w:val="3FF76880"/>
    <w:rsid w:val="414544E4"/>
    <w:rsid w:val="42442951"/>
    <w:rsid w:val="42DB3C12"/>
    <w:rsid w:val="442C5D93"/>
    <w:rsid w:val="44FF413B"/>
    <w:rsid w:val="467F4346"/>
    <w:rsid w:val="46923899"/>
    <w:rsid w:val="472E3BD0"/>
    <w:rsid w:val="497C4DAC"/>
    <w:rsid w:val="4A9D52F4"/>
    <w:rsid w:val="4B9E1324"/>
    <w:rsid w:val="4FCE5F50"/>
    <w:rsid w:val="507E59D3"/>
    <w:rsid w:val="515A3F3F"/>
    <w:rsid w:val="55570796"/>
    <w:rsid w:val="57317330"/>
    <w:rsid w:val="5B7E6A7C"/>
    <w:rsid w:val="5BFD4AC2"/>
    <w:rsid w:val="603C0CB4"/>
    <w:rsid w:val="609B7EE9"/>
    <w:rsid w:val="60E83F98"/>
    <w:rsid w:val="640C1922"/>
    <w:rsid w:val="67759716"/>
    <w:rsid w:val="6BDF1997"/>
    <w:rsid w:val="6C6C41BD"/>
    <w:rsid w:val="6CC40F2B"/>
    <w:rsid w:val="6F7ED27B"/>
    <w:rsid w:val="6FA75643"/>
    <w:rsid w:val="720D24B0"/>
    <w:rsid w:val="74544DC8"/>
    <w:rsid w:val="75B17A7C"/>
    <w:rsid w:val="76053BCA"/>
    <w:rsid w:val="76CF2DA1"/>
    <w:rsid w:val="78E667EB"/>
    <w:rsid w:val="7AB7FF50"/>
    <w:rsid w:val="7AEAF641"/>
    <w:rsid w:val="7BAD2729"/>
    <w:rsid w:val="7BFEB0DB"/>
    <w:rsid w:val="7DAC0693"/>
    <w:rsid w:val="7FFF4E81"/>
    <w:rsid w:val="7FFFD0D3"/>
    <w:rsid w:val="8716660E"/>
    <w:rsid w:val="A3AA735E"/>
    <w:rsid w:val="A75D4892"/>
    <w:rsid w:val="A7B689A0"/>
    <w:rsid w:val="AFFFCE02"/>
    <w:rsid w:val="CEFD3F3D"/>
    <w:rsid w:val="D6B22E60"/>
    <w:rsid w:val="DD3B5A1C"/>
    <w:rsid w:val="EA3F77F2"/>
    <w:rsid w:val="EEFE5989"/>
    <w:rsid w:val="EFCF3EAE"/>
    <w:rsid w:val="F4FDEB06"/>
    <w:rsid w:val="F5B764A2"/>
    <w:rsid w:val="F77F09F4"/>
    <w:rsid w:val="FBBE4F1C"/>
    <w:rsid w:val="FBFF6E65"/>
    <w:rsid w:val="FEEF6AA0"/>
    <w:rsid w:val="FFB792B8"/>
    <w:rsid w:val="FFD7BFFC"/>
    <w:rsid w:val="FFFA6B0F"/>
    <w:rsid w:val="FFFFB6E6"/>
    <w:rsid w:val="FFFFE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600" w:lineRule="exact"/>
      <w:ind w:firstLine="640"/>
      <w:outlineLvl w:val="0"/>
    </w:pPr>
    <w:rPr>
      <w:rFonts w:ascii="黑体" w:hAnsi="黑体" w:eastAsia="黑体" w:cs="宋体"/>
      <w:color w:val="000000"/>
      <w:kern w:val="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列出段落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7246</Words>
  <Characters>7740</Characters>
  <Lines>58</Lines>
  <Paragraphs>16</Paragraphs>
  <TotalTime>8</TotalTime>
  <ScaleCrop>false</ScaleCrop>
  <LinksUpToDate>false</LinksUpToDate>
  <CharactersWithSpaces>7803</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2022-03-15T11:16:00Z</dcterms:created>
  <dc:creator>user</dc:creator>
  <cp:lastModifiedBy>lenovo</cp:lastModifiedBy>
  <cp:lastPrinted>2023-03-06T17:31:00Z</cp:lastPrinted>
  <dcterms:modified xsi:type="dcterms:W3CDTF">2023-07-07T03:48:29Z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5FC2C9B57F9D4F85A06E13582DD5D83D_12</vt:lpwstr>
  </property>
</Properties>
</file>